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8E6" w:rsidRDefault="002E318B">
      <w:pPr>
        <w:widowControl/>
        <w:spacing w:line="560" w:lineRule="exact"/>
        <w:rPr>
          <w:rFonts w:ascii="方正黑体_GBK" w:eastAsia="方正黑体_GBK" w:hAnsi="宋体" w:cs="宋体"/>
          <w:bCs/>
          <w:sz w:val="30"/>
          <w:szCs w:val="30"/>
        </w:rPr>
      </w:pPr>
      <w:bookmarkStart w:id="0" w:name="_GoBack"/>
      <w:bookmarkEnd w:id="0"/>
      <w:r>
        <w:rPr>
          <w:rFonts w:ascii="方正黑体_GBK" w:eastAsia="方正黑体_GBK" w:hAnsi="宋体" w:cs="宋体" w:hint="eastAsia"/>
          <w:bCs/>
          <w:sz w:val="30"/>
          <w:szCs w:val="30"/>
        </w:rPr>
        <w:t>附件</w:t>
      </w:r>
    </w:p>
    <w:p w:rsidR="009C48E6" w:rsidRPr="007F2885" w:rsidRDefault="002E318B">
      <w:pPr>
        <w:spacing w:line="560" w:lineRule="exact"/>
        <w:jc w:val="center"/>
        <w:rPr>
          <w:rFonts w:ascii="方正小标宋简体" w:eastAsia="方正小标宋简体" w:hAnsi="宋体" w:cs="宋体"/>
          <w:bCs/>
          <w:sz w:val="44"/>
          <w:szCs w:val="44"/>
        </w:rPr>
      </w:pPr>
      <w:r w:rsidRPr="007F2885">
        <w:rPr>
          <w:rFonts w:ascii="方正小标宋简体" w:eastAsia="方正小标宋简体" w:hAnsi="宋体" w:cs="宋体" w:hint="eastAsia"/>
          <w:bCs/>
          <w:sz w:val="44"/>
          <w:szCs w:val="44"/>
        </w:rPr>
        <w:t>甘肃省职业病诊断医师资格</w:t>
      </w:r>
    </w:p>
    <w:p w:rsidR="009C48E6" w:rsidRPr="007F2885" w:rsidRDefault="002E318B">
      <w:pPr>
        <w:spacing w:line="560" w:lineRule="exact"/>
        <w:jc w:val="center"/>
        <w:rPr>
          <w:rFonts w:ascii="方正小标宋简体" w:eastAsia="方正小标宋简体" w:hAnsi="黑体" w:cs="黑体"/>
          <w:sz w:val="44"/>
          <w:szCs w:val="44"/>
        </w:rPr>
      </w:pPr>
      <w:r w:rsidRPr="007F2885">
        <w:rPr>
          <w:rFonts w:ascii="方正小标宋简体" w:eastAsia="方正小标宋简体" w:hAnsi="宋体" w:cs="宋体" w:hint="eastAsia"/>
          <w:bCs/>
          <w:sz w:val="44"/>
          <w:szCs w:val="44"/>
        </w:rPr>
        <w:t>培训考核内容及学时要求</w:t>
      </w:r>
    </w:p>
    <w:p w:rsidR="009C48E6" w:rsidRDefault="009C48E6">
      <w:pPr>
        <w:spacing w:line="560" w:lineRule="exact"/>
        <w:rPr>
          <w:rFonts w:ascii="黑体" w:eastAsia="黑体" w:hAnsi="黑体" w:cs="黑体"/>
          <w:sz w:val="30"/>
          <w:szCs w:val="30"/>
        </w:rPr>
      </w:pPr>
    </w:p>
    <w:p w:rsidR="009C48E6" w:rsidRDefault="002E318B">
      <w:pPr>
        <w:spacing w:line="560" w:lineRule="exact"/>
        <w:ind w:firstLineChars="202" w:firstLine="646"/>
        <w:rPr>
          <w:rFonts w:ascii="仿宋_GB2312" w:eastAsia="仿宋_GB2312"/>
          <w:szCs w:val="32"/>
        </w:rPr>
      </w:pPr>
      <w:r>
        <w:rPr>
          <w:rFonts w:ascii="仿宋_GB2312" w:eastAsia="仿宋_GB2312" w:hint="eastAsia"/>
          <w:szCs w:val="32"/>
        </w:rPr>
        <w:t>根据</w:t>
      </w:r>
      <w:r>
        <w:rPr>
          <w:rFonts w:ascii="仿宋_GB2312" w:eastAsia="仿宋_GB2312"/>
          <w:szCs w:val="32"/>
        </w:rPr>
        <w:t>国家</w:t>
      </w:r>
      <w:r>
        <w:rPr>
          <w:rFonts w:ascii="仿宋_GB2312" w:eastAsia="仿宋_GB2312" w:hint="eastAsia"/>
          <w:szCs w:val="32"/>
        </w:rPr>
        <w:t>《职业病诊断医师培训大纲》（2021年版），</w:t>
      </w:r>
      <w:r>
        <w:rPr>
          <w:rFonts w:ascii="仿宋_GB2312" w:eastAsia="仿宋_GB2312"/>
          <w:szCs w:val="32"/>
        </w:rPr>
        <w:t>制定本</w:t>
      </w:r>
      <w:r>
        <w:rPr>
          <w:rFonts w:ascii="仿宋_GB2312" w:eastAsia="仿宋_GB2312" w:hint="eastAsia"/>
          <w:szCs w:val="32"/>
        </w:rPr>
        <w:t>要求，</w:t>
      </w:r>
      <w:r>
        <w:rPr>
          <w:rFonts w:ascii="仿宋_GB2312" w:eastAsia="仿宋_GB2312"/>
          <w:szCs w:val="32"/>
        </w:rPr>
        <w:t>国家大纲</w:t>
      </w:r>
      <w:r>
        <w:rPr>
          <w:rFonts w:ascii="仿宋_GB2312" w:eastAsia="仿宋_GB2312" w:hint="eastAsia"/>
          <w:szCs w:val="32"/>
        </w:rPr>
        <w:t>如有</w:t>
      </w:r>
      <w:r>
        <w:rPr>
          <w:rFonts w:ascii="仿宋_GB2312" w:eastAsia="仿宋_GB2312"/>
          <w:szCs w:val="32"/>
        </w:rPr>
        <w:t>调整或另有规定的，从其规定。</w:t>
      </w:r>
    </w:p>
    <w:p w:rsidR="009C48E6" w:rsidRDefault="002E318B">
      <w:pPr>
        <w:spacing w:line="560" w:lineRule="exact"/>
        <w:ind w:firstLineChars="202" w:firstLine="646"/>
        <w:rPr>
          <w:rFonts w:ascii="黑体" w:eastAsia="黑体" w:hAnsi="黑体" w:cs="黑体"/>
          <w:szCs w:val="32"/>
        </w:rPr>
      </w:pPr>
      <w:r>
        <w:rPr>
          <w:rFonts w:ascii="仿宋_GB2312" w:eastAsia="仿宋_GB2312" w:hAnsi="黑体" w:cs="黑体" w:hint="eastAsia"/>
          <w:szCs w:val="32"/>
        </w:rPr>
        <w:t>规定</w:t>
      </w:r>
      <w:r>
        <w:rPr>
          <w:rFonts w:ascii="仿宋_GB2312" w:eastAsia="仿宋_GB2312" w:hAnsi="黑体" w:cs="黑体"/>
          <w:szCs w:val="32"/>
        </w:rPr>
        <w:t>的</w:t>
      </w:r>
      <w:r>
        <w:rPr>
          <w:rFonts w:ascii="仿宋_GB2312" w:eastAsia="仿宋_GB2312" w:hAnsi="黑体" w:cs="黑体" w:hint="eastAsia"/>
          <w:szCs w:val="32"/>
        </w:rPr>
        <w:t>培训学时，</w:t>
      </w:r>
      <w:r>
        <w:rPr>
          <w:rFonts w:ascii="仿宋_GB2312" w:eastAsia="仿宋_GB2312" w:hAnsi="黑体" w:cs="黑体"/>
          <w:szCs w:val="32"/>
        </w:rPr>
        <w:t>是</w:t>
      </w:r>
      <w:r>
        <w:rPr>
          <w:rFonts w:ascii="仿宋_GB2312" w:eastAsia="仿宋_GB2312" w:hAnsi="黑体" w:cs="黑体" w:hint="eastAsia"/>
          <w:szCs w:val="32"/>
        </w:rPr>
        <w:t>最低</w:t>
      </w:r>
      <w:r>
        <w:rPr>
          <w:rFonts w:ascii="仿宋_GB2312" w:eastAsia="仿宋_GB2312" w:hAnsi="黑体" w:cs="黑体"/>
          <w:szCs w:val="32"/>
        </w:rPr>
        <w:t>标准要求。在</w:t>
      </w:r>
      <w:r>
        <w:rPr>
          <w:rFonts w:ascii="仿宋_GB2312" w:eastAsia="仿宋_GB2312" w:hAnsi="黑体" w:cs="黑体" w:hint="eastAsia"/>
          <w:szCs w:val="32"/>
        </w:rPr>
        <w:t>具体</w:t>
      </w:r>
      <w:r>
        <w:rPr>
          <w:rFonts w:ascii="仿宋_GB2312" w:eastAsia="仿宋_GB2312" w:hAnsi="黑体" w:cs="黑体"/>
          <w:szCs w:val="32"/>
        </w:rPr>
        <w:t>组织</w:t>
      </w:r>
      <w:r>
        <w:rPr>
          <w:rFonts w:ascii="仿宋_GB2312" w:eastAsia="仿宋_GB2312" w:hAnsi="黑体" w:cs="黑体" w:hint="eastAsia"/>
          <w:szCs w:val="32"/>
        </w:rPr>
        <w:t>资格</w:t>
      </w:r>
      <w:r>
        <w:rPr>
          <w:rFonts w:ascii="仿宋_GB2312" w:eastAsia="仿宋_GB2312" w:hAnsi="黑体" w:cs="黑体"/>
          <w:szCs w:val="32"/>
        </w:rPr>
        <w:t>培训时，可视参训人员</w:t>
      </w:r>
      <w:r>
        <w:rPr>
          <w:rFonts w:ascii="仿宋_GB2312" w:eastAsia="仿宋_GB2312" w:hAnsi="黑体" w:cs="黑体" w:hint="eastAsia"/>
          <w:szCs w:val="32"/>
        </w:rPr>
        <w:t>相关</w:t>
      </w:r>
      <w:r>
        <w:rPr>
          <w:rFonts w:ascii="仿宋_GB2312" w:eastAsia="仿宋_GB2312" w:hAnsi="黑体" w:cs="黑体"/>
          <w:szCs w:val="32"/>
        </w:rPr>
        <w:t>基础知识</w:t>
      </w:r>
      <w:r>
        <w:rPr>
          <w:rFonts w:ascii="仿宋_GB2312" w:eastAsia="仿宋_GB2312" w:hAnsi="黑体" w:cs="黑体" w:hint="eastAsia"/>
          <w:szCs w:val="32"/>
        </w:rPr>
        <w:t>、</w:t>
      </w:r>
      <w:r>
        <w:rPr>
          <w:rFonts w:ascii="仿宋_GB2312" w:eastAsia="仿宋_GB2312" w:hAnsi="黑体" w:cs="黑体"/>
          <w:szCs w:val="32"/>
        </w:rPr>
        <w:t>实践经验</w:t>
      </w:r>
      <w:r>
        <w:rPr>
          <w:rFonts w:ascii="仿宋_GB2312" w:eastAsia="仿宋_GB2312" w:hAnsi="黑体" w:cs="黑体" w:hint="eastAsia"/>
          <w:szCs w:val="32"/>
        </w:rPr>
        <w:t>及技能熟练</w:t>
      </w:r>
      <w:r>
        <w:rPr>
          <w:rFonts w:ascii="仿宋_GB2312" w:eastAsia="仿宋_GB2312" w:hAnsi="黑体" w:cs="黑体"/>
          <w:szCs w:val="32"/>
        </w:rPr>
        <w:t>程度</w:t>
      </w:r>
      <w:r>
        <w:rPr>
          <w:rFonts w:ascii="仿宋_GB2312" w:eastAsia="仿宋_GB2312" w:hAnsi="黑体" w:cs="黑体" w:hint="eastAsia"/>
          <w:szCs w:val="32"/>
        </w:rPr>
        <w:t>，增加</w:t>
      </w:r>
      <w:r>
        <w:rPr>
          <w:rFonts w:ascii="仿宋_GB2312" w:eastAsia="仿宋_GB2312" w:hAnsi="黑体" w:cs="黑体"/>
          <w:szCs w:val="32"/>
        </w:rPr>
        <w:t>培训、学习课时。</w:t>
      </w:r>
    </w:p>
    <w:p w:rsidR="009C48E6" w:rsidRDefault="002E318B">
      <w:pPr>
        <w:spacing w:line="560" w:lineRule="exact"/>
        <w:ind w:firstLineChars="200" w:firstLine="640"/>
        <w:rPr>
          <w:rFonts w:ascii="黑体" w:eastAsia="黑体" w:hAnsi="黑体" w:cs="黑体"/>
          <w:sz w:val="30"/>
          <w:szCs w:val="30"/>
        </w:rPr>
      </w:pPr>
      <w:r>
        <w:rPr>
          <w:rFonts w:ascii="仿宋_GB2312" w:eastAsia="仿宋_GB2312" w:hint="eastAsia"/>
          <w:szCs w:val="32"/>
        </w:rPr>
        <w:t>相关知识的培训要求，依次划分为“掌握”、“熟悉”和“了解”三个程度。“掌握”是</w:t>
      </w:r>
      <w:r>
        <w:rPr>
          <w:rFonts w:ascii="仿宋_GB2312" w:eastAsia="仿宋_GB2312"/>
          <w:szCs w:val="32"/>
        </w:rPr>
        <w:t>指</w:t>
      </w:r>
      <w:r>
        <w:rPr>
          <w:rFonts w:ascii="仿宋_GB2312" w:eastAsia="仿宋_GB2312" w:hint="eastAsia"/>
          <w:szCs w:val="32"/>
        </w:rPr>
        <w:t>：在理解的基础上,可以完整地叙述知识的全面含义，不同知识点之间的区别与联系,要求必须全面理解学习</w:t>
      </w:r>
      <w:r>
        <w:rPr>
          <w:rFonts w:ascii="仿宋_GB2312" w:eastAsia="仿宋_GB2312"/>
          <w:szCs w:val="32"/>
        </w:rPr>
        <w:t>内容</w:t>
      </w:r>
      <w:r>
        <w:rPr>
          <w:rFonts w:ascii="仿宋_GB2312" w:eastAsia="仿宋_GB2312" w:hint="eastAsia"/>
          <w:szCs w:val="32"/>
        </w:rPr>
        <w:t>和对</w:t>
      </w:r>
      <w:r>
        <w:rPr>
          <w:rFonts w:ascii="仿宋_GB2312" w:eastAsia="仿宋_GB2312"/>
          <w:szCs w:val="32"/>
        </w:rPr>
        <w:t>主要内容进行</w:t>
      </w:r>
      <w:r>
        <w:rPr>
          <w:rFonts w:ascii="仿宋_GB2312" w:eastAsia="仿宋_GB2312" w:hint="eastAsia"/>
          <w:szCs w:val="32"/>
        </w:rPr>
        <w:t>记忆；“熟悉”是指:知道概念以及内部各知识点之间的联系,理解其主要内容，</w:t>
      </w:r>
      <w:r>
        <w:rPr>
          <w:rFonts w:ascii="仿宋_GB2312" w:eastAsia="仿宋_GB2312"/>
          <w:szCs w:val="32"/>
        </w:rPr>
        <w:t>记忆</w:t>
      </w:r>
      <w:r>
        <w:rPr>
          <w:rFonts w:ascii="仿宋_GB2312" w:eastAsia="仿宋_GB2312" w:hint="eastAsia"/>
          <w:szCs w:val="32"/>
        </w:rPr>
        <w:t>核心关键</w:t>
      </w:r>
      <w:r>
        <w:rPr>
          <w:rFonts w:ascii="仿宋_GB2312" w:eastAsia="仿宋_GB2312"/>
          <w:szCs w:val="32"/>
        </w:rPr>
        <w:t>知识点</w:t>
      </w:r>
      <w:r>
        <w:rPr>
          <w:rFonts w:ascii="仿宋_GB2312" w:eastAsia="仿宋_GB2312" w:hint="eastAsia"/>
          <w:szCs w:val="32"/>
        </w:rPr>
        <w:t>。“了解”是指: 在理解学习内容后,一般性知道即可, 基本上不用记忆。</w:t>
      </w:r>
    </w:p>
    <w:p w:rsidR="009C48E6" w:rsidRDefault="002E318B">
      <w:pPr>
        <w:spacing w:line="560" w:lineRule="exact"/>
        <w:ind w:firstLineChars="221" w:firstLine="707"/>
        <w:rPr>
          <w:rFonts w:ascii="楷体_GB2312" w:eastAsia="楷体_GB2312" w:hAnsi="楷体_GB2312" w:cs="楷体_GB2312"/>
          <w:bCs/>
          <w:szCs w:val="32"/>
        </w:rPr>
      </w:pPr>
      <w:r>
        <w:rPr>
          <w:rFonts w:ascii="黑体" w:eastAsia="黑体" w:hAnsi="黑体" w:cs="楷体_GB2312" w:hint="eastAsia"/>
          <w:bCs/>
          <w:szCs w:val="32"/>
        </w:rPr>
        <w:t>一、基础知识类（</w:t>
      </w:r>
      <w:r>
        <w:rPr>
          <w:rFonts w:ascii="黑体" w:eastAsia="黑体" w:hAnsi="黑体" w:cs="楷体_GB2312"/>
          <w:bCs/>
          <w:szCs w:val="32"/>
        </w:rPr>
        <w:t>12</w:t>
      </w:r>
      <w:r>
        <w:rPr>
          <w:rFonts w:ascii="黑体" w:eastAsia="黑体" w:hAnsi="黑体" w:cs="楷体_GB2312" w:hint="eastAsia"/>
          <w:bCs/>
          <w:szCs w:val="32"/>
        </w:rPr>
        <w:t>个学时）</w:t>
      </w:r>
    </w:p>
    <w:p w:rsidR="009C48E6" w:rsidRDefault="002E318B">
      <w:pPr>
        <w:spacing w:line="560" w:lineRule="exact"/>
        <w:ind w:firstLineChars="221" w:firstLine="707"/>
        <w:rPr>
          <w:rFonts w:ascii="楷体_GB2312" w:eastAsia="楷体_GB2312" w:hAnsi="楷体_GB2312" w:cs="楷体_GB2312"/>
          <w:bCs/>
          <w:szCs w:val="32"/>
        </w:rPr>
      </w:pPr>
      <w:r>
        <w:rPr>
          <w:rFonts w:ascii="楷体_GB2312" w:eastAsia="楷体_GB2312" w:hAnsi="楷体_GB2312" w:cs="楷体_GB2312" w:hint="eastAsia"/>
          <w:bCs/>
          <w:szCs w:val="32"/>
        </w:rPr>
        <w:t>（一）法律法规及标准培训（</w:t>
      </w:r>
      <w:r>
        <w:rPr>
          <w:rFonts w:ascii="楷体_GB2312" w:eastAsia="楷体_GB2312" w:hAnsi="楷体_GB2312" w:cs="楷体_GB2312"/>
          <w:bCs/>
          <w:szCs w:val="32"/>
        </w:rPr>
        <w:t>6</w:t>
      </w:r>
      <w:r>
        <w:rPr>
          <w:rFonts w:ascii="楷体_GB2312" w:eastAsia="楷体_GB2312" w:hAnsi="楷体_GB2312" w:cs="楷体_GB2312" w:hint="eastAsia"/>
          <w:bCs/>
          <w:szCs w:val="32"/>
        </w:rPr>
        <w:t>个学时）</w:t>
      </w:r>
    </w:p>
    <w:p w:rsidR="009C48E6" w:rsidRDefault="002E318B">
      <w:pPr>
        <w:spacing w:line="560" w:lineRule="exact"/>
        <w:ind w:firstLineChars="221" w:firstLine="707"/>
        <w:rPr>
          <w:rFonts w:ascii="仿宋_GB2312" w:eastAsia="仿宋_GB2312"/>
          <w:szCs w:val="32"/>
        </w:rPr>
      </w:pPr>
      <w:r>
        <w:rPr>
          <w:rFonts w:ascii="仿宋_GB2312" w:eastAsia="仿宋_GB2312" w:hint="eastAsia"/>
          <w:szCs w:val="32"/>
        </w:rPr>
        <w:t>掌握《职业病防治法》以及《职业病诊断与鉴定管理办法》《职业病分类和目录》，熟悉《职业健康检查管理办法》《放射工作人员职业健康管理办法》《职业病危害因素分类目录》，了解国家有关职业病防治、保障等方面的政策。</w:t>
      </w:r>
    </w:p>
    <w:p w:rsidR="009C48E6" w:rsidRDefault="002E318B">
      <w:pPr>
        <w:spacing w:line="560" w:lineRule="exact"/>
        <w:ind w:firstLineChars="200" w:firstLine="640"/>
        <w:rPr>
          <w:rFonts w:ascii="仿宋_GB2312" w:eastAsia="仿宋_GB2312"/>
          <w:szCs w:val="32"/>
        </w:rPr>
      </w:pPr>
      <w:r>
        <w:rPr>
          <w:rFonts w:ascii="仿宋_GB2312" w:eastAsia="仿宋_GB2312" w:hint="eastAsia"/>
          <w:szCs w:val="32"/>
        </w:rPr>
        <w:t>掌握《职业病诊断通则》《职业病诊断文书书写规范》《职业健康监护技术规范》，熟悉《工作场所有害因素职业接触</w:t>
      </w:r>
      <w:r>
        <w:rPr>
          <w:rFonts w:ascii="仿宋_GB2312" w:eastAsia="仿宋_GB2312" w:hint="eastAsia"/>
          <w:szCs w:val="32"/>
        </w:rPr>
        <w:lastRenderedPageBreak/>
        <w:t>限值 第1部分：化学有害因素》和《工作场所有害因素职业接触限值 第2部分：物理因素》，了解职业病诊断标准体系。</w:t>
      </w:r>
    </w:p>
    <w:p w:rsidR="009C48E6" w:rsidRDefault="002E318B">
      <w:pPr>
        <w:spacing w:line="560" w:lineRule="exact"/>
        <w:ind w:firstLineChars="200" w:firstLine="640"/>
        <w:rPr>
          <w:rFonts w:ascii="仿宋_GB2312" w:eastAsia="仿宋_GB2312"/>
          <w:szCs w:val="32"/>
        </w:rPr>
      </w:pPr>
      <w:r>
        <w:rPr>
          <w:rFonts w:ascii="仿宋_GB2312" w:eastAsia="仿宋_GB2312" w:hint="eastAsia"/>
          <w:szCs w:val="32"/>
        </w:rPr>
        <w:t>掌握《职业性放射性疾病诊断总则》《职业性放射性疾病诊断程序和要求》《放射工作人员健康要求及监护规范》，熟悉《电离辐射防护与辐射源安全基本标准》，了解职业性放射性疾病诊断标准体系。</w:t>
      </w:r>
    </w:p>
    <w:p w:rsidR="009C48E6" w:rsidRDefault="002E318B">
      <w:pPr>
        <w:spacing w:line="560" w:lineRule="exact"/>
        <w:ind w:firstLineChars="221" w:firstLine="707"/>
        <w:rPr>
          <w:rFonts w:ascii="楷体_GB2312" w:eastAsia="楷体_GB2312" w:hAnsi="楷体_GB2312" w:cs="楷体_GB2312"/>
          <w:bCs/>
          <w:szCs w:val="32"/>
        </w:rPr>
      </w:pPr>
      <w:r>
        <w:rPr>
          <w:rFonts w:ascii="楷体_GB2312" w:eastAsia="楷体_GB2312" w:hAnsi="楷体_GB2312" w:cs="楷体_GB2312" w:hint="eastAsia"/>
          <w:bCs/>
          <w:szCs w:val="32"/>
        </w:rPr>
        <w:t>（二）职业病基础理论培训（</w:t>
      </w:r>
      <w:r>
        <w:rPr>
          <w:rFonts w:ascii="楷体_GB2312" w:eastAsia="楷体_GB2312" w:hAnsi="楷体_GB2312" w:cs="楷体_GB2312"/>
          <w:bCs/>
          <w:szCs w:val="32"/>
        </w:rPr>
        <w:t>3</w:t>
      </w:r>
      <w:r>
        <w:rPr>
          <w:rFonts w:ascii="楷体_GB2312" w:eastAsia="楷体_GB2312" w:hAnsi="楷体_GB2312" w:cs="楷体_GB2312" w:hint="eastAsia"/>
          <w:bCs/>
          <w:szCs w:val="32"/>
        </w:rPr>
        <w:t>个学时）</w:t>
      </w:r>
    </w:p>
    <w:p w:rsidR="009C48E6" w:rsidRDefault="002E318B">
      <w:pPr>
        <w:spacing w:line="560" w:lineRule="exact"/>
        <w:ind w:firstLineChars="200" w:firstLine="640"/>
        <w:rPr>
          <w:rFonts w:ascii="仿宋_GB2312" w:eastAsia="仿宋_GB2312"/>
          <w:szCs w:val="32"/>
        </w:rPr>
      </w:pPr>
      <w:r>
        <w:rPr>
          <w:rFonts w:ascii="仿宋_GB2312" w:eastAsia="仿宋_GB2312" w:hint="eastAsia"/>
          <w:szCs w:val="32"/>
        </w:rPr>
        <w:t>掌握职业病的概念与分类，职业病的特点，职业病的诊断、鉴定与报告制度。</w:t>
      </w:r>
    </w:p>
    <w:p w:rsidR="009C48E6" w:rsidRDefault="002E318B">
      <w:pPr>
        <w:spacing w:line="560" w:lineRule="exact"/>
        <w:ind w:firstLineChars="200" w:firstLine="640"/>
        <w:rPr>
          <w:rFonts w:ascii="仿宋_GB2312" w:eastAsia="仿宋_GB2312"/>
          <w:szCs w:val="32"/>
        </w:rPr>
      </w:pPr>
      <w:r>
        <w:rPr>
          <w:rFonts w:ascii="仿宋_GB2312" w:eastAsia="仿宋_GB2312" w:hint="eastAsia"/>
          <w:szCs w:val="32"/>
        </w:rPr>
        <w:t>熟悉常见职业病危害因素的识别和评估、职业接触限值在职业病诊断中的应用与局限，职业病病人的工伤保障。</w:t>
      </w:r>
    </w:p>
    <w:p w:rsidR="009C48E6" w:rsidRDefault="002E318B">
      <w:pPr>
        <w:spacing w:line="560" w:lineRule="exact"/>
        <w:ind w:firstLineChars="200" w:firstLine="640"/>
        <w:rPr>
          <w:rFonts w:ascii="仿宋_GB2312" w:eastAsia="仿宋_GB2312"/>
          <w:szCs w:val="32"/>
        </w:rPr>
      </w:pPr>
      <w:r>
        <w:rPr>
          <w:rFonts w:ascii="仿宋_GB2312" w:eastAsia="仿宋_GB2312" w:hint="eastAsia"/>
          <w:szCs w:val="32"/>
        </w:rPr>
        <w:t>了解职业病危害因素的类型，常见的职业病危害因素（包括电离辐射）及其特点、分布、接触机会与接触途径、职业健康损害类型，急性职业损伤与应急处置。了解职业病诊疗技术进展，全国和我省的职业病防治工作形势。</w:t>
      </w:r>
    </w:p>
    <w:p w:rsidR="009C48E6" w:rsidRDefault="002E318B">
      <w:pPr>
        <w:spacing w:line="560" w:lineRule="exact"/>
        <w:ind w:firstLineChars="221" w:firstLine="707"/>
        <w:rPr>
          <w:rFonts w:ascii="楷体_GB2312" w:eastAsia="楷体_GB2312" w:hAnsi="楷体_GB2312" w:cs="楷体_GB2312"/>
          <w:bCs/>
          <w:szCs w:val="32"/>
        </w:rPr>
      </w:pPr>
      <w:r>
        <w:rPr>
          <w:rFonts w:ascii="楷体_GB2312" w:eastAsia="楷体_GB2312" w:hAnsi="楷体_GB2312" w:cs="楷体_GB2312" w:hint="eastAsia"/>
          <w:bCs/>
          <w:szCs w:val="32"/>
        </w:rPr>
        <w:t>（三）职业健康检查主检医师基础技能培训（3个学时）</w:t>
      </w:r>
    </w:p>
    <w:p w:rsidR="009C48E6" w:rsidRDefault="002E318B">
      <w:pPr>
        <w:spacing w:line="540" w:lineRule="exact"/>
        <w:ind w:firstLine="643"/>
        <w:rPr>
          <w:rFonts w:ascii="仿宋_GB2312" w:eastAsia="仿宋_GB2312"/>
          <w:szCs w:val="32"/>
        </w:rPr>
      </w:pPr>
      <w:r>
        <w:rPr>
          <w:rFonts w:ascii="仿宋_GB2312" w:eastAsia="仿宋_GB2312" w:hint="eastAsia"/>
          <w:szCs w:val="32"/>
        </w:rPr>
        <w:t>掌握职业健康监护、职业健康检查的概念和作用，职业健康检查的分类，各类职业病危害因素作业的必检项目、检查周期、检查内容及要求，职业禁忌证、疑似职业病、疑似职业性放射性疾病及其他异常情况的判定及处理，职业健康检查总结报告、个体结论报告的主要内容，职业健康检查机构和用人单位在职业健康检查中的结果告知和信息报告义务，以及职业健康检查档案和职业健康监护档案的管理要求。</w:t>
      </w:r>
    </w:p>
    <w:p w:rsidR="009C48E6" w:rsidRDefault="009C48E6">
      <w:pPr>
        <w:spacing w:line="540" w:lineRule="exact"/>
        <w:ind w:firstLineChars="200" w:firstLine="640"/>
        <w:rPr>
          <w:rFonts w:ascii="仿宋_GB2312" w:eastAsia="仿宋_GB2312"/>
          <w:szCs w:val="32"/>
        </w:rPr>
      </w:pPr>
    </w:p>
    <w:p w:rsidR="009C48E6" w:rsidRDefault="002E318B">
      <w:pPr>
        <w:spacing w:line="540" w:lineRule="exact"/>
        <w:ind w:firstLineChars="200" w:firstLine="640"/>
        <w:rPr>
          <w:rFonts w:ascii="仿宋_GB2312" w:eastAsia="仿宋_GB2312"/>
          <w:szCs w:val="32"/>
        </w:rPr>
      </w:pPr>
      <w:r>
        <w:rPr>
          <w:rFonts w:ascii="仿宋_GB2312" w:eastAsia="仿宋_GB2312" w:hint="eastAsia"/>
          <w:szCs w:val="32"/>
        </w:rPr>
        <w:lastRenderedPageBreak/>
        <w:t>了解职业健康监护选检项目及其意义。对于放射工作人员职业健康监护能力培训，还应了解放射工作人员的定义，熟悉不应（或不宜）从事放射工作的健康和其他有关条件，掌握放射工作人员在岗期间健康检查的重点，《放射工作人员健康要求及监护规范》中的检查项目以及放射工作的适任性意见。</w:t>
      </w:r>
    </w:p>
    <w:p w:rsidR="009C48E6" w:rsidRDefault="002E318B">
      <w:pPr>
        <w:spacing w:line="560" w:lineRule="exact"/>
        <w:ind w:firstLineChars="221" w:firstLine="707"/>
        <w:rPr>
          <w:rFonts w:ascii="黑体" w:eastAsia="黑体" w:hAnsi="黑体" w:cs="楷体_GB2312"/>
          <w:bCs/>
          <w:szCs w:val="32"/>
        </w:rPr>
      </w:pPr>
      <w:r>
        <w:rPr>
          <w:rFonts w:ascii="黑体" w:eastAsia="黑体" w:hAnsi="黑体" w:cs="楷体_GB2312" w:hint="eastAsia"/>
          <w:bCs/>
          <w:szCs w:val="32"/>
        </w:rPr>
        <w:t>二、职业病诊断专业</w:t>
      </w:r>
      <w:r>
        <w:rPr>
          <w:rFonts w:ascii="黑体" w:eastAsia="黑体" w:hAnsi="黑体" w:cs="楷体_GB2312"/>
          <w:bCs/>
          <w:szCs w:val="32"/>
        </w:rPr>
        <w:t>类别</w:t>
      </w:r>
      <w:r>
        <w:rPr>
          <w:rFonts w:ascii="黑体" w:eastAsia="黑体" w:hAnsi="黑体" w:cs="楷体_GB2312" w:hint="eastAsia"/>
          <w:bCs/>
          <w:szCs w:val="32"/>
        </w:rPr>
        <w:t>能力培训</w:t>
      </w:r>
    </w:p>
    <w:p w:rsidR="009C48E6" w:rsidRDefault="002E318B">
      <w:pPr>
        <w:spacing w:line="560" w:lineRule="exact"/>
        <w:ind w:firstLineChars="221" w:firstLine="707"/>
        <w:rPr>
          <w:rFonts w:ascii="楷体_GB2312" w:eastAsia="楷体_GB2312" w:hAnsi="仿宋_GB2312" w:cs="仿宋_GB2312"/>
          <w:bCs/>
          <w:szCs w:val="32"/>
        </w:rPr>
      </w:pPr>
      <w:r>
        <w:rPr>
          <w:rFonts w:ascii="楷体_GB2312" w:eastAsia="楷体_GB2312" w:hAnsi="仿宋_GB2312" w:cs="仿宋_GB2312" w:hint="eastAsia"/>
          <w:bCs/>
          <w:szCs w:val="32"/>
        </w:rPr>
        <w:t>（一）职业性尘肺病及其他呼吸系统疾病诊断能力培训（</w:t>
      </w:r>
      <w:r>
        <w:rPr>
          <w:rFonts w:ascii="楷体_GB2312" w:eastAsia="楷体_GB2312" w:hAnsi="楷体_GB2312" w:cs="楷体_GB2312" w:hint="eastAsia"/>
          <w:bCs/>
          <w:szCs w:val="32"/>
        </w:rPr>
        <w:t>1</w:t>
      </w:r>
      <w:r>
        <w:rPr>
          <w:rFonts w:ascii="楷体_GB2312" w:eastAsia="楷体_GB2312" w:hAnsi="楷体_GB2312" w:cs="楷体_GB2312"/>
          <w:bCs/>
          <w:szCs w:val="32"/>
        </w:rPr>
        <w:t>6</w:t>
      </w:r>
      <w:r>
        <w:rPr>
          <w:rFonts w:ascii="楷体_GB2312" w:eastAsia="楷体_GB2312" w:hAnsi="楷体_GB2312" w:cs="楷体_GB2312" w:hint="eastAsia"/>
          <w:bCs/>
          <w:szCs w:val="32"/>
        </w:rPr>
        <w:t>个学时</w:t>
      </w:r>
      <w:r>
        <w:rPr>
          <w:rFonts w:ascii="楷体_GB2312" w:eastAsia="楷体_GB2312" w:hAnsi="仿宋_GB2312" w:cs="仿宋_GB2312" w:hint="eastAsia"/>
          <w:bCs/>
          <w:szCs w:val="32"/>
        </w:rPr>
        <w:t>）</w:t>
      </w:r>
    </w:p>
    <w:p w:rsidR="009C48E6" w:rsidRDefault="002E318B">
      <w:pPr>
        <w:spacing w:line="560" w:lineRule="exact"/>
        <w:ind w:firstLineChars="200" w:firstLine="640"/>
        <w:rPr>
          <w:rFonts w:ascii="仿宋_GB2312" w:eastAsia="仿宋_GB2312"/>
          <w:szCs w:val="32"/>
        </w:rPr>
      </w:pPr>
      <w:r>
        <w:rPr>
          <w:rFonts w:ascii="仿宋_GB2312" w:eastAsia="仿宋_GB2312" w:hint="eastAsia"/>
          <w:szCs w:val="32"/>
        </w:rPr>
        <w:t>应包括理论培训和读片能力培训，相关培训应达到以下标准：</w:t>
      </w:r>
    </w:p>
    <w:p w:rsidR="009C48E6" w:rsidRDefault="002E318B">
      <w:pPr>
        <w:spacing w:line="560" w:lineRule="exact"/>
        <w:ind w:firstLineChars="200" w:firstLine="640"/>
        <w:rPr>
          <w:rFonts w:ascii="仿宋_GB2312" w:eastAsia="仿宋_GB2312"/>
          <w:szCs w:val="32"/>
        </w:rPr>
      </w:pPr>
      <w:r>
        <w:rPr>
          <w:rFonts w:ascii="仿宋_GB2312" w:eastAsia="仿宋_GB2312" w:hint="eastAsia"/>
          <w:szCs w:val="32"/>
        </w:rPr>
        <w:t>掌握尘肺病的致病因素及其影响因素、基本病理改变、临床表现及主要并发症，尘肺病的预防、治疗及康复，尘肺病的X射线诊断标准（包括小阴影、大阴影、胸膜病变、肺门改变、肺纹理改变，以及小阴影形态、密集度和分布范围的识别与判定），尘肺病的鉴别诊断，尘肺病后前位X射线高千伏胸片、数字化X射线摄影影像特征等的判定要点。</w:t>
      </w:r>
    </w:p>
    <w:p w:rsidR="009C48E6" w:rsidRDefault="002E318B">
      <w:pPr>
        <w:spacing w:line="560" w:lineRule="exact"/>
        <w:ind w:firstLineChars="200" w:firstLine="640"/>
        <w:rPr>
          <w:rFonts w:ascii="仿宋_GB2312" w:eastAsia="仿宋_GB2312"/>
          <w:szCs w:val="32"/>
        </w:rPr>
      </w:pPr>
      <w:r>
        <w:rPr>
          <w:rFonts w:ascii="仿宋_GB2312" w:eastAsia="仿宋_GB2312" w:hint="eastAsia"/>
          <w:szCs w:val="32"/>
        </w:rPr>
        <w:t>熟悉尘肺病的主要类型及不同类型的基本特征、尘肺病的病理诊断标准，胸片质量与质量评定、胸片X射线检查的技术要求、尘肺病诊断标准中的代号意义和判定，尘肺病病人呼吸功能判定及血气分析，生产性粉尘及其与胸部高千伏X射线摄影技术、数字化X射线摄影有关的基本概念及其应用。</w:t>
      </w:r>
    </w:p>
    <w:p w:rsidR="009C48E6" w:rsidRDefault="002E318B">
      <w:pPr>
        <w:spacing w:line="560" w:lineRule="exact"/>
        <w:ind w:firstLineChars="200" w:firstLine="640"/>
        <w:rPr>
          <w:rFonts w:ascii="仿宋_GB2312" w:eastAsia="仿宋_GB2312"/>
          <w:szCs w:val="32"/>
        </w:rPr>
      </w:pPr>
      <w:r>
        <w:rPr>
          <w:rFonts w:ascii="仿宋_GB2312" w:eastAsia="仿宋_GB2312" w:hint="eastAsia"/>
          <w:szCs w:val="32"/>
        </w:rPr>
        <w:t>了解尘肺病诊断读片程序规范和发生读片差异的主要原因、减少差异的方法，新技术在尘肺病诊断分类中的应用、</w:t>
      </w:r>
      <w:r>
        <w:rPr>
          <w:rFonts w:ascii="仿宋_GB2312" w:eastAsia="仿宋_GB2312" w:hint="eastAsia"/>
          <w:szCs w:val="32"/>
        </w:rPr>
        <w:lastRenderedPageBreak/>
        <w:t>国际劳工组织及其他国家的尘肺病诊断标准。</w:t>
      </w:r>
    </w:p>
    <w:p w:rsidR="009C48E6" w:rsidRDefault="002E318B">
      <w:pPr>
        <w:spacing w:line="560" w:lineRule="exact"/>
        <w:ind w:firstLineChars="221" w:firstLine="707"/>
        <w:rPr>
          <w:rFonts w:ascii="楷体_GB2312" w:eastAsia="楷体_GB2312" w:hAnsi="仿宋_GB2312" w:cs="仿宋_GB2312"/>
          <w:bCs/>
          <w:szCs w:val="32"/>
        </w:rPr>
      </w:pPr>
      <w:r>
        <w:rPr>
          <w:rFonts w:ascii="楷体_GB2312" w:eastAsia="楷体_GB2312" w:hAnsi="仿宋_GB2312" w:cs="仿宋_GB2312" w:hint="eastAsia"/>
          <w:bCs/>
          <w:szCs w:val="32"/>
        </w:rPr>
        <w:t>（二）职业性化学中毒诊断能力培训</w:t>
      </w:r>
      <w:r>
        <w:rPr>
          <w:rFonts w:ascii="楷体_GB2312" w:eastAsia="楷体_GB2312" w:hAnsi="楷体_GB2312" w:cs="楷体_GB2312" w:hint="eastAsia"/>
          <w:bCs/>
          <w:szCs w:val="32"/>
        </w:rPr>
        <w:t>（</w:t>
      </w:r>
      <w:r>
        <w:rPr>
          <w:rFonts w:ascii="楷体_GB2312" w:eastAsia="楷体_GB2312" w:hAnsi="楷体_GB2312" w:cs="楷体_GB2312"/>
          <w:bCs/>
          <w:szCs w:val="32"/>
        </w:rPr>
        <w:t>8</w:t>
      </w:r>
      <w:r>
        <w:rPr>
          <w:rFonts w:ascii="楷体_GB2312" w:eastAsia="楷体_GB2312" w:hAnsi="楷体_GB2312" w:cs="楷体_GB2312" w:hint="eastAsia"/>
          <w:bCs/>
          <w:szCs w:val="32"/>
        </w:rPr>
        <w:t>个学时）</w:t>
      </w:r>
    </w:p>
    <w:p w:rsidR="009C48E6" w:rsidRDefault="002E318B">
      <w:pPr>
        <w:spacing w:line="560" w:lineRule="exact"/>
        <w:ind w:firstLineChars="200" w:firstLine="640"/>
        <w:rPr>
          <w:rFonts w:ascii="仿宋_GB2312" w:eastAsia="仿宋_GB2312"/>
          <w:szCs w:val="32"/>
        </w:rPr>
      </w:pPr>
      <w:r>
        <w:rPr>
          <w:rFonts w:ascii="仿宋_GB2312" w:eastAsia="仿宋_GB2312" w:hint="eastAsia"/>
          <w:szCs w:val="32"/>
        </w:rPr>
        <w:t>掌握《职业性急性化学物中毒的诊断 总则》以及以下常见职业性化学中毒的诊断要点和鉴别诊断：</w:t>
      </w:r>
    </w:p>
    <w:p w:rsidR="009C48E6" w:rsidRDefault="002E318B">
      <w:pPr>
        <w:spacing w:line="560" w:lineRule="exact"/>
        <w:ind w:firstLine="640"/>
        <w:rPr>
          <w:rFonts w:ascii="仿宋_GB2312" w:eastAsia="仿宋_GB2312"/>
          <w:szCs w:val="32"/>
        </w:rPr>
      </w:pPr>
      <w:r>
        <w:rPr>
          <w:rFonts w:ascii="仿宋_GB2312" w:eastAsia="仿宋_GB2312" w:hint="eastAsia"/>
          <w:szCs w:val="32"/>
        </w:rPr>
        <w:t>1</w:t>
      </w:r>
      <w:r>
        <w:rPr>
          <w:rFonts w:ascii="仿宋_GB2312" w:eastAsia="仿宋_GB2312"/>
          <w:szCs w:val="32"/>
        </w:rPr>
        <w:t>.</w:t>
      </w:r>
      <w:r>
        <w:rPr>
          <w:rFonts w:ascii="仿宋_GB2312" w:eastAsia="仿宋_GB2312" w:hint="eastAsia"/>
          <w:szCs w:val="32"/>
        </w:rPr>
        <w:t>金属或类金属中毒（如铅、汞、镉、锰、砷、铟及其无机化合物等）。</w:t>
      </w:r>
    </w:p>
    <w:p w:rsidR="009C48E6" w:rsidRDefault="002E318B">
      <w:pPr>
        <w:spacing w:line="560" w:lineRule="exact"/>
        <w:ind w:firstLine="640"/>
        <w:rPr>
          <w:rFonts w:ascii="仿宋_GB2312" w:eastAsia="仿宋_GB2312"/>
          <w:szCs w:val="32"/>
        </w:rPr>
      </w:pPr>
      <w:r>
        <w:rPr>
          <w:rFonts w:ascii="仿宋_GB2312" w:eastAsia="仿宋_GB2312" w:hint="eastAsia"/>
          <w:szCs w:val="32"/>
        </w:rPr>
        <w:t>2</w:t>
      </w:r>
      <w:r>
        <w:rPr>
          <w:rFonts w:ascii="仿宋_GB2312" w:eastAsia="仿宋_GB2312"/>
          <w:szCs w:val="32"/>
        </w:rPr>
        <w:t>.</w:t>
      </w:r>
      <w:r>
        <w:rPr>
          <w:rFonts w:ascii="仿宋_GB2312" w:eastAsia="仿宋_GB2312" w:hint="eastAsia"/>
          <w:szCs w:val="32"/>
        </w:rPr>
        <w:t>有毒气体中毒（如氯气、氮氧化物、氨、光气、二氧化硫、氰化物、一氧化碳、硫化氢、氟化氢、磷化氢等）。</w:t>
      </w:r>
    </w:p>
    <w:p w:rsidR="009C48E6" w:rsidRDefault="002E318B">
      <w:pPr>
        <w:spacing w:line="560" w:lineRule="exact"/>
        <w:ind w:firstLine="640"/>
        <w:rPr>
          <w:rFonts w:ascii="仿宋_GB2312" w:eastAsia="仿宋_GB2312"/>
          <w:szCs w:val="32"/>
        </w:rPr>
      </w:pPr>
      <w:r>
        <w:rPr>
          <w:rFonts w:ascii="仿宋_GB2312" w:eastAsia="仿宋_GB2312" w:hint="eastAsia"/>
          <w:szCs w:val="32"/>
        </w:rPr>
        <w:t>3</w:t>
      </w:r>
      <w:r>
        <w:rPr>
          <w:rFonts w:ascii="仿宋_GB2312" w:eastAsia="仿宋_GB2312"/>
          <w:szCs w:val="32"/>
        </w:rPr>
        <w:t>.</w:t>
      </w:r>
      <w:r>
        <w:rPr>
          <w:rFonts w:ascii="仿宋_GB2312" w:eastAsia="仿宋_GB2312" w:hint="eastAsia"/>
          <w:szCs w:val="32"/>
        </w:rPr>
        <w:t>有机溶剂及其他有机物的中毒（如苯及苯系物、苯的氨基和硝基化合物、甲醇、甲醛、正己烷、三氯乙烯、汽油、二甲基甲酰胺、丙烯酰胺、环氧乙烷、二氯乙烷及腈类等）。</w:t>
      </w:r>
    </w:p>
    <w:p w:rsidR="009C48E6" w:rsidRDefault="002E318B">
      <w:pPr>
        <w:spacing w:line="560" w:lineRule="exact"/>
        <w:ind w:firstLine="640"/>
        <w:rPr>
          <w:rFonts w:ascii="仿宋_GB2312" w:eastAsia="仿宋_GB2312"/>
          <w:szCs w:val="32"/>
        </w:rPr>
      </w:pPr>
      <w:r>
        <w:rPr>
          <w:rFonts w:ascii="仿宋_GB2312" w:eastAsia="仿宋_GB2312" w:hint="eastAsia"/>
          <w:szCs w:val="32"/>
        </w:rPr>
        <w:t>4</w:t>
      </w:r>
      <w:r>
        <w:rPr>
          <w:rFonts w:ascii="仿宋_GB2312" w:eastAsia="仿宋_GB2312"/>
          <w:szCs w:val="32"/>
        </w:rPr>
        <w:t>.</w:t>
      </w:r>
      <w:r>
        <w:rPr>
          <w:rFonts w:ascii="仿宋_GB2312" w:eastAsia="仿宋_GB2312" w:hint="eastAsia"/>
          <w:szCs w:val="32"/>
        </w:rPr>
        <w:t>农药中毒（如有机磷、氨基甲酸酯类、拟除虫菊酯类农药等）。</w:t>
      </w:r>
    </w:p>
    <w:p w:rsidR="009C48E6" w:rsidRDefault="002E318B">
      <w:pPr>
        <w:spacing w:line="560" w:lineRule="exact"/>
        <w:ind w:firstLineChars="200" w:firstLine="640"/>
        <w:rPr>
          <w:rFonts w:ascii="仿宋_GB2312" w:eastAsia="仿宋_GB2312"/>
          <w:szCs w:val="32"/>
        </w:rPr>
      </w:pPr>
      <w:r>
        <w:rPr>
          <w:rFonts w:ascii="仿宋_GB2312" w:eastAsia="仿宋_GB2312" w:hint="eastAsia"/>
          <w:szCs w:val="32"/>
        </w:rPr>
        <w:t>熟悉以上常见职业性化学中毒的健康危害、靶器官、临床表现、实验室检查、诊断原则、救治、康复以及预防。</w:t>
      </w:r>
    </w:p>
    <w:p w:rsidR="009C48E6" w:rsidRDefault="002E318B">
      <w:pPr>
        <w:spacing w:line="560" w:lineRule="exact"/>
        <w:ind w:firstLineChars="200" w:firstLine="640"/>
        <w:rPr>
          <w:rFonts w:ascii="仿宋_GB2312" w:eastAsia="仿宋_GB2312"/>
          <w:szCs w:val="32"/>
        </w:rPr>
      </w:pPr>
      <w:r>
        <w:rPr>
          <w:rFonts w:ascii="仿宋_GB2312" w:eastAsia="仿宋_GB2312" w:hint="eastAsia"/>
          <w:szCs w:val="32"/>
        </w:rPr>
        <w:t>了解工作场所常见化学有害因素的种类、来源、存在形式、接触机会、进入人体的途径、代谢与排出的规律，以及预防的知识，工作场所化学有害因素监测与生物监测在职业性化学中毒诊断中的意义。</w:t>
      </w:r>
    </w:p>
    <w:p w:rsidR="009C48E6" w:rsidRDefault="002E318B">
      <w:pPr>
        <w:spacing w:line="560" w:lineRule="exact"/>
        <w:ind w:firstLineChars="200" w:firstLine="640"/>
        <w:rPr>
          <w:rFonts w:ascii="仿宋_GB2312" w:eastAsia="仿宋_GB2312"/>
          <w:szCs w:val="32"/>
        </w:rPr>
      </w:pPr>
      <w:r>
        <w:rPr>
          <w:rFonts w:ascii="仿宋_GB2312" w:eastAsia="仿宋_GB2312" w:hint="eastAsia"/>
          <w:szCs w:val="32"/>
        </w:rPr>
        <w:t>通过典型职业中毒病案分析，提升职业性化学中毒诊断实践能力。</w:t>
      </w:r>
    </w:p>
    <w:p w:rsidR="009C48E6" w:rsidRDefault="002E318B">
      <w:pPr>
        <w:spacing w:line="560" w:lineRule="exact"/>
        <w:ind w:firstLineChars="221" w:firstLine="707"/>
        <w:rPr>
          <w:rFonts w:ascii="楷体_GB2312" w:eastAsia="楷体_GB2312" w:hAnsi="仿宋_GB2312" w:cs="仿宋_GB2312"/>
          <w:bCs/>
          <w:szCs w:val="32"/>
        </w:rPr>
      </w:pPr>
      <w:r>
        <w:rPr>
          <w:rFonts w:ascii="楷体_GB2312" w:eastAsia="楷体_GB2312" w:hAnsi="仿宋_GB2312" w:cs="仿宋_GB2312" w:hint="eastAsia"/>
          <w:bCs/>
          <w:szCs w:val="32"/>
        </w:rPr>
        <w:t>（三）物理因素所致职业病诊断能力培训</w:t>
      </w:r>
      <w:r>
        <w:rPr>
          <w:rFonts w:ascii="楷体_GB2312" w:eastAsia="楷体_GB2312" w:hAnsi="楷体_GB2312" w:cs="楷体_GB2312" w:hint="eastAsia"/>
          <w:bCs/>
          <w:szCs w:val="32"/>
        </w:rPr>
        <w:t>（</w:t>
      </w:r>
      <w:r>
        <w:rPr>
          <w:rFonts w:ascii="楷体_GB2312" w:eastAsia="楷体_GB2312" w:hAnsi="楷体_GB2312" w:cs="楷体_GB2312"/>
          <w:bCs/>
          <w:szCs w:val="32"/>
        </w:rPr>
        <w:t>8</w:t>
      </w:r>
      <w:r>
        <w:rPr>
          <w:rFonts w:ascii="楷体_GB2312" w:eastAsia="楷体_GB2312" w:hAnsi="楷体_GB2312" w:cs="楷体_GB2312" w:hint="eastAsia"/>
          <w:bCs/>
          <w:szCs w:val="32"/>
        </w:rPr>
        <w:t>个学时）</w:t>
      </w:r>
    </w:p>
    <w:p w:rsidR="009C48E6" w:rsidRDefault="002E318B">
      <w:pPr>
        <w:spacing w:line="560" w:lineRule="exact"/>
        <w:ind w:firstLineChars="200" w:firstLine="640"/>
        <w:rPr>
          <w:rFonts w:ascii="仿宋_GB2312" w:eastAsia="仿宋_GB2312"/>
          <w:szCs w:val="32"/>
        </w:rPr>
      </w:pPr>
      <w:r>
        <w:rPr>
          <w:rFonts w:ascii="仿宋_GB2312" w:eastAsia="仿宋_GB2312" w:hint="eastAsia"/>
          <w:szCs w:val="32"/>
        </w:rPr>
        <w:t>掌握物理因素所致职业病（包括噪声所致的职业性耳鼻喉口腔疾病中的职业性噪声聋及职业性爆震聋）的临床表现、</w:t>
      </w:r>
      <w:r>
        <w:rPr>
          <w:rFonts w:ascii="仿宋_GB2312" w:eastAsia="仿宋_GB2312" w:hint="eastAsia"/>
          <w:szCs w:val="32"/>
        </w:rPr>
        <w:lastRenderedPageBreak/>
        <w:t>实验室检查、诊断原则、鉴别诊断、处理原则、诊断分级以及急性健康损害的应急处置。</w:t>
      </w:r>
    </w:p>
    <w:p w:rsidR="009C48E6" w:rsidRDefault="002E318B">
      <w:pPr>
        <w:spacing w:line="560" w:lineRule="exact"/>
        <w:ind w:firstLineChars="200" w:firstLine="640"/>
        <w:rPr>
          <w:rFonts w:ascii="仿宋_GB2312" w:eastAsia="仿宋_GB2312"/>
          <w:szCs w:val="32"/>
        </w:rPr>
      </w:pPr>
      <w:r>
        <w:rPr>
          <w:rFonts w:ascii="仿宋_GB2312" w:eastAsia="仿宋_GB2312" w:hint="eastAsia"/>
          <w:szCs w:val="32"/>
        </w:rPr>
        <w:t>熟悉相关职业病诊断标准。</w:t>
      </w:r>
    </w:p>
    <w:p w:rsidR="009C48E6" w:rsidRDefault="002E318B">
      <w:pPr>
        <w:spacing w:line="560" w:lineRule="exact"/>
        <w:ind w:firstLineChars="200" w:firstLine="640"/>
        <w:rPr>
          <w:rFonts w:ascii="仿宋_GB2312" w:eastAsia="仿宋_GB2312"/>
          <w:szCs w:val="32"/>
        </w:rPr>
      </w:pPr>
      <w:r>
        <w:rPr>
          <w:rFonts w:ascii="仿宋_GB2312" w:eastAsia="仿宋_GB2312" w:hint="eastAsia"/>
          <w:szCs w:val="32"/>
        </w:rPr>
        <w:t>了解物理因素的主要类型、特点、健康危害及其影响因素、所致职业病及其预防。</w:t>
      </w:r>
    </w:p>
    <w:p w:rsidR="009C48E6" w:rsidRDefault="002E318B">
      <w:pPr>
        <w:spacing w:line="560" w:lineRule="exact"/>
        <w:ind w:firstLineChars="200" w:firstLine="640"/>
        <w:rPr>
          <w:rFonts w:ascii="仿宋_GB2312" w:eastAsia="仿宋_GB2312"/>
          <w:szCs w:val="32"/>
        </w:rPr>
      </w:pPr>
      <w:r>
        <w:rPr>
          <w:rFonts w:ascii="仿宋_GB2312" w:eastAsia="仿宋_GB2312" w:hint="eastAsia"/>
          <w:szCs w:val="32"/>
        </w:rPr>
        <w:t>1</w:t>
      </w:r>
      <w:r>
        <w:rPr>
          <w:rFonts w:ascii="仿宋_GB2312" w:eastAsia="仿宋_GB2312"/>
          <w:szCs w:val="32"/>
        </w:rPr>
        <w:t>.</w:t>
      </w:r>
      <w:r>
        <w:rPr>
          <w:rFonts w:ascii="仿宋_GB2312" w:eastAsia="仿宋_GB2312" w:hint="eastAsia"/>
          <w:szCs w:val="32"/>
        </w:rPr>
        <w:t>职业性噪声聋和职业性爆震聋</w:t>
      </w:r>
    </w:p>
    <w:p w:rsidR="009C48E6" w:rsidRDefault="002E318B">
      <w:pPr>
        <w:spacing w:line="560" w:lineRule="exact"/>
        <w:ind w:firstLineChars="200" w:firstLine="640"/>
        <w:rPr>
          <w:rFonts w:ascii="仿宋_GB2312" w:eastAsia="仿宋_GB2312"/>
          <w:szCs w:val="32"/>
        </w:rPr>
      </w:pPr>
      <w:r>
        <w:rPr>
          <w:rFonts w:ascii="仿宋_GB2312" w:eastAsia="仿宋_GB2312" w:hint="eastAsia"/>
          <w:szCs w:val="32"/>
        </w:rPr>
        <w:t>掌握职业性噪声听力损伤、职业性噪声聋的听力学特征、双耳高频平均听阈及单耳听阈加权值的计算，职业性噪声聋和职业性爆震聋的诊断步骤、诊断原则、鉴别诊断、诊断分级、处理原则。</w:t>
      </w:r>
    </w:p>
    <w:p w:rsidR="009C48E6" w:rsidRDefault="002E318B">
      <w:pPr>
        <w:spacing w:line="560" w:lineRule="exact"/>
        <w:ind w:firstLineChars="200" w:firstLine="640"/>
        <w:rPr>
          <w:rFonts w:ascii="仿宋_GB2312" w:eastAsia="仿宋_GB2312"/>
          <w:szCs w:val="32"/>
        </w:rPr>
      </w:pPr>
      <w:r>
        <w:rPr>
          <w:rFonts w:ascii="仿宋_GB2312" w:eastAsia="仿宋_GB2312" w:hint="eastAsia"/>
          <w:szCs w:val="32"/>
        </w:rPr>
        <w:t>熟悉噪声的主要健康危害、职业接触限值、听觉适应及听觉疲劳。</w:t>
      </w:r>
    </w:p>
    <w:p w:rsidR="009C48E6" w:rsidRDefault="002E318B">
      <w:pPr>
        <w:spacing w:line="560" w:lineRule="exact"/>
        <w:ind w:firstLineChars="200" w:firstLine="640"/>
        <w:rPr>
          <w:rFonts w:ascii="仿宋_GB2312" w:eastAsia="仿宋_GB2312"/>
          <w:szCs w:val="32"/>
        </w:rPr>
      </w:pPr>
      <w:r>
        <w:rPr>
          <w:rFonts w:ascii="仿宋_GB2312" w:eastAsia="仿宋_GB2312" w:hint="eastAsia"/>
          <w:szCs w:val="32"/>
        </w:rPr>
        <w:t>了解噪声的定义、分类、常见的噪声作业及噪声的防护知识。</w:t>
      </w:r>
    </w:p>
    <w:p w:rsidR="009C48E6" w:rsidRDefault="002E318B">
      <w:pPr>
        <w:spacing w:line="560" w:lineRule="exact"/>
        <w:ind w:firstLineChars="200" w:firstLine="640"/>
        <w:rPr>
          <w:rFonts w:ascii="仿宋_GB2312" w:eastAsia="仿宋_GB2312"/>
          <w:bCs/>
          <w:szCs w:val="32"/>
        </w:rPr>
      </w:pPr>
      <w:r>
        <w:rPr>
          <w:rFonts w:ascii="仿宋_GB2312" w:eastAsia="仿宋_GB2312" w:hint="eastAsia"/>
          <w:szCs w:val="32"/>
        </w:rPr>
        <w:t>2.</w:t>
      </w:r>
      <w:r>
        <w:rPr>
          <w:rFonts w:ascii="仿宋_GB2312" w:eastAsia="仿宋_GB2312" w:hint="eastAsia"/>
          <w:bCs/>
          <w:szCs w:val="32"/>
        </w:rPr>
        <w:t>职业性中暑</w:t>
      </w:r>
    </w:p>
    <w:p w:rsidR="009C48E6" w:rsidRDefault="002E318B">
      <w:pPr>
        <w:spacing w:line="560" w:lineRule="exact"/>
        <w:ind w:firstLineChars="200" w:firstLine="640"/>
        <w:rPr>
          <w:rFonts w:ascii="仿宋_GB2312" w:eastAsia="仿宋_GB2312"/>
          <w:szCs w:val="32"/>
        </w:rPr>
      </w:pPr>
      <w:r>
        <w:rPr>
          <w:rFonts w:ascii="仿宋_GB2312" w:eastAsia="仿宋_GB2312" w:hint="eastAsia"/>
          <w:szCs w:val="32"/>
        </w:rPr>
        <w:t>掌握中暑先兆与职业性中暑、中暑的典型临床表现，中暑的分型、诊断原则、鉴别诊断以及处理原则。</w:t>
      </w:r>
    </w:p>
    <w:p w:rsidR="009C48E6" w:rsidRDefault="002E318B">
      <w:pPr>
        <w:spacing w:line="560" w:lineRule="exact"/>
        <w:ind w:firstLineChars="200" w:firstLine="640"/>
        <w:rPr>
          <w:rFonts w:ascii="仿宋_GB2312" w:eastAsia="仿宋_GB2312"/>
          <w:szCs w:val="32"/>
        </w:rPr>
      </w:pPr>
      <w:r>
        <w:rPr>
          <w:rFonts w:ascii="仿宋_GB2312" w:eastAsia="仿宋_GB2312" w:hint="eastAsia"/>
          <w:szCs w:val="32"/>
        </w:rPr>
        <w:t>熟悉高温作业上岗前、在岗期间职业健康检查的目标疾病、检查项目、职业禁忌证。</w:t>
      </w:r>
    </w:p>
    <w:p w:rsidR="009C48E6" w:rsidRDefault="002E318B">
      <w:pPr>
        <w:spacing w:line="560" w:lineRule="exact"/>
        <w:ind w:firstLineChars="200" w:firstLine="640"/>
        <w:rPr>
          <w:rFonts w:ascii="仿宋_GB2312" w:eastAsia="仿宋_GB2312"/>
          <w:szCs w:val="32"/>
        </w:rPr>
      </w:pPr>
      <w:r>
        <w:rPr>
          <w:rFonts w:ascii="仿宋_GB2312" w:eastAsia="仿宋_GB2312" w:hint="eastAsia"/>
          <w:szCs w:val="32"/>
        </w:rPr>
        <w:t>了解高温作业的定义、高热天气作业与高温作业场所、常见容易发生中暑的作业、高温中暑的预防，机体的热应激、热适应。</w:t>
      </w:r>
    </w:p>
    <w:p w:rsidR="009C48E6" w:rsidRDefault="002E318B">
      <w:pPr>
        <w:spacing w:line="560" w:lineRule="exact"/>
        <w:ind w:firstLineChars="200" w:firstLine="640"/>
        <w:rPr>
          <w:rFonts w:ascii="仿宋_GB2312" w:eastAsia="仿宋_GB2312"/>
          <w:bCs/>
          <w:szCs w:val="32"/>
        </w:rPr>
      </w:pPr>
      <w:r>
        <w:rPr>
          <w:rFonts w:ascii="仿宋_GB2312" w:eastAsia="仿宋_GB2312" w:hint="eastAsia"/>
          <w:bCs/>
          <w:szCs w:val="32"/>
        </w:rPr>
        <w:t>3</w:t>
      </w:r>
      <w:r>
        <w:rPr>
          <w:rFonts w:ascii="仿宋_GB2312" w:eastAsia="仿宋_GB2312"/>
          <w:bCs/>
          <w:szCs w:val="32"/>
        </w:rPr>
        <w:t>.</w:t>
      </w:r>
      <w:r>
        <w:rPr>
          <w:rFonts w:ascii="仿宋_GB2312" w:eastAsia="仿宋_GB2312" w:hint="eastAsia"/>
          <w:bCs/>
          <w:szCs w:val="32"/>
        </w:rPr>
        <w:t>职业性手臂振动病</w:t>
      </w:r>
    </w:p>
    <w:p w:rsidR="009C48E6" w:rsidRDefault="002E318B">
      <w:pPr>
        <w:spacing w:line="560" w:lineRule="exact"/>
        <w:ind w:firstLineChars="200" w:firstLine="640"/>
        <w:rPr>
          <w:rFonts w:ascii="仿宋_GB2312" w:eastAsia="仿宋_GB2312"/>
          <w:szCs w:val="32"/>
        </w:rPr>
      </w:pPr>
      <w:r>
        <w:rPr>
          <w:rFonts w:ascii="仿宋_GB2312" w:eastAsia="仿宋_GB2312" w:hint="eastAsia"/>
          <w:szCs w:val="32"/>
        </w:rPr>
        <w:t>掌握职业性手臂振动病的诊断原则、诊断与鉴别诊断、</w:t>
      </w:r>
      <w:r>
        <w:rPr>
          <w:rFonts w:ascii="仿宋_GB2312" w:eastAsia="仿宋_GB2312" w:hint="eastAsia"/>
          <w:szCs w:val="32"/>
        </w:rPr>
        <w:lastRenderedPageBreak/>
        <w:t>诊断分级、治疗及处理原则。</w:t>
      </w:r>
    </w:p>
    <w:p w:rsidR="009C48E6" w:rsidRDefault="002E318B">
      <w:pPr>
        <w:spacing w:line="560" w:lineRule="exact"/>
        <w:ind w:firstLineChars="200" w:firstLine="640"/>
        <w:rPr>
          <w:rFonts w:ascii="仿宋_GB2312" w:eastAsia="仿宋_GB2312"/>
          <w:szCs w:val="32"/>
        </w:rPr>
      </w:pPr>
      <w:r>
        <w:rPr>
          <w:rFonts w:ascii="仿宋_GB2312" w:eastAsia="仿宋_GB2312" w:hint="eastAsia"/>
          <w:szCs w:val="32"/>
        </w:rPr>
        <w:t>熟悉手传振动的健康危害、职业性手臂振动病的典型临床表现以及特征性检查。</w:t>
      </w:r>
    </w:p>
    <w:p w:rsidR="009C48E6" w:rsidRDefault="002E318B">
      <w:pPr>
        <w:spacing w:line="560" w:lineRule="exact"/>
        <w:ind w:firstLineChars="200" w:firstLine="640"/>
        <w:rPr>
          <w:rFonts w:ascii="仿宋_GB2312" w:eastAsia="仿宋_GB2312"/>
          <w:szCs w:val="32"/>
        </w:rPr>
      </w:pPr>
      <w:r>
        <w:rPr>
          <w:rFonts w:ascii="仿宋_GB2312" w:eastAsia="仿宋_GB2312" w:hint="eastAsia"/>
          <w:szCs w:val="32"/>
        </w:rPr>
        <w:t>了解手传振动的定义、常见的手传振动作业及其防护知识。</w:t>
      </w:r>
    </w:p>
    <w:p w:rsidR="009C48E6" w:rsidRDefault="002E318B">
      <w:pPr>
        <w:spacing w:line="560" w:lineRule="exact"/>
        <w:ind w:firstLineChars="200" w:firstLine="640"/>
        <w:rPr>
          <w:rFonts w:ascii="楷体_GB2312" w:eastAsia="楷体_GB2312"/>
          <w:szCs w:val="32"/>
        </w:rPr>
      </w:pPr>
      <w:r>
        <w:rPr>
          <w:rFonts w:ascii="楷体_GB2312" w:eastAsia="楷体_GB2312" w:hint="eastAsia"/>
          <w:szCs w:val="32"/>
        </w:rPr>
        <w:t>（四）职业性放射性疾病诊断能力培训</w:t>
      </w:r>
      <w:r>
        <w:rPr>
          <w:rFonts w:ascii="楷体_GB2312" w:eastAsia="楷体_GB2312" w:hAnsi="楷体_GB2312" w:cs="楷体_GB2312" w:hint="eastAsia"/>
          <w:bCs/>
          <w:szCs w:val="32"/>
        </w:rPr>
        <w:t>（12个学时）</w:t>
      </w:r>
    </w:p>
    <w:p w:rsidR="009C48E6" w:rsidRDefault="002E318B">
      <w:pPr>
        <w:spacing w:line="560" w:lineRule="exact"/>
        <w:ind w:firstLineChars="200" w:firstLine="640"/>
        <w:rPr>
          <w:rFonts w:ascii="仿宋_GB2312" w:eastAsia="仿宋_GB2312"/>
          <w:szCs w:val="32"/>
        </w:rPr>
      </w:pPr>
      <w:r>
        <w:rPr>
          <w:rFonts w:ascii="仿宋_GB2312" w:eastAsia="仿宋_GB2312" w:hint="eastAsia"/>
          <w:szCs w:val="32"/>
        </w:rPr>
        <w:t>掌握放射性核素体内代谢分布规律、放射损伤机理、电离辐射的种类、放射源的类型，器官、组织和细胞的辐射敏感性以及影响电离辐射生物效应的主要因素，13种职业性放射性疾病（含放射性白内障、铀及其化合物中毒）的诊断原则、职业性放射性疾病诊断标准。</w:t>
      </w:r>
    </w:p>
    <w:p w:rsidR="009C48E6" w:rsidRDefault="002E318B">
      <w:pPr>
        <w:spacing w:line="560" w:lineRule="exact"/>
        <w:ind w:firstLineChars="200" w:firstLine="640"/>
        <w:rPr>
          <w:rFonts w:ascii="仿宋_GB2312" w:eastAsia="仿宋_GB2312"/>
          <w:szCs w:val="32"/>
        </w:rPr>
      </w:pPr>
      <w:r>
        <w:rPr>
          <w:rFonts w:ascii="仿宋_GB2312" w:eastAsia="仿宋_GB2312" w:hint="eastAsia"/>
          <w:szCs w:val="32"/>
        </w:rPr>
        <w:t>熟悉电离辐射对造血、消化、神经、免疫和内分泌等系统的影响，掌握电离辐射的随机性效应和确定性效应、躯体效应与遗传效应以及近期效应与远期效应，常见职业性放射性疾病诊断要点和辐射致癌病因概率计算。</w:t>
      </w:r>
    </w:p>
    <w:p w:rsidR="009C48E6" w:rsidRDefault="002E318B">
      <w:pPr>
        <w:spacing w:line="540" w:lineRule="exact"/>
        <w:ind w:firstLineChars="200" w:firstLine="640"/>
        <w:rPr>
          <w:rFonts w:ascii="楷体_GB2312" w:eastAsia="楷体_GB2312"/>
          <w:szCs w:val="32"/>
        </w:rPr>
      </w:pPr>
      <w:r>
        <w:rPr>
          <w:rFonts w:ascii="楷体_GB2312" w:eastAsia="楷体_GB2312" w:hint="eastAsia"/>
          <w:szCs w:val="32"/>
        </w:rPr>
        <w:t>（五）生物因素所致职业病的诊断能力培训</w:t>
      </w:r>
      <w:r>
        <w:rPr>
          <w:rFonts w:ascii="楷体_GB2312" w:eastAsia="楷体_GB2312" w:hAnsi="楷体_GB2312" w:cs="楷体_GB2312" w:hint="eastAsia"/>
          <w:bCs/>
          <w:szCs w:val="32"/>
        </w:rPr>
        <w:t>（</w:t>
      </w:r>
      <w:r>
        <w:rPr>
          <w:rFonts w:ascii="楷体_GB2312" w:eastAsia="楷体_GB2312" w:hAnsi="楷体_GB2312" w:cs="楷体_GB2312"/>
          <w:bCs/>
          <w:szCs w:val="32"/>
        </w:rPr>
        <w:t>4</w:t>
      </w:r>
      <w:r>
        <w:rPr>
          <w:rFonts w:ascii="楷体_GB2312" w:eastAsia="楷体_GB2312" w:hAnsi="楷体_GB2312" w:cs="楷体_GB2312" w:hint="eastAsia"/>
          <w:bCs/>
          <w:szCs w:val="32"/>
        </w:rPr>
        <w:t>个学时）</w:t>
      </w:r>
    </w:p>
    <w:p w:rsidR="009C48E6" w:rsidRDefault="002E318B">
      <w:pPr>
        <w:spacing w:line="560" w:lineRule="exact"/>
        <w:ind w:firstLineChars="200" w:firstLine="640"/>
        <w:rPr>
          <w:rFonts w:ascii="仿宋_GB2312" w:eastAsia="仿宋_GB2312"/>
          <w:bCs/>
          <w:szCs w:val="32"/>
        </w:rPr>
      </w:pPr>
      <w:r>
        <w:rPr>
          <w:rFonts w:ascii="仿宋_GB2312" w:eastAsia="仿宋_GB2312" w:hint="eastAsia"/>
          <w:bCs/>
          <w:szCs w:val="32"/>
        </w:rPr>
        <w:t>掌握职业性传染病概念、诊断原则及治疗原则。掌握引起莱姆病、布鲁氏菌病、森林脑炎的职业及临床表现、发病机制、预防措施，了解致病因素、特征。</w:t>
      </w:r>
    </w:p>
    <w:p w:rsidR="009C48E6" w:rsidRDefault="002E318B">
      <w:pPr>
        <w:spacing w:line="540" w:lineRule="exact"/>
        <w:ind w:firstLineChars="200" w:firstLine="640"/>
        <w:rPr>
          <w:rFonts w:ascii="楷体_GB2312" w:eastAsia="楷体_GB2312"/>
          <w:szCs w:val="32"/>
        </w:rPr>
      </w:pPr>
      <w:r>
        <w:rPr>
          <w:rFonts w:ascii="楷体_GB2312" w:eastAsia="楷体_GB2312" w:hint="eastAsia"/>
          <w:szCs w:val="32"/>
        </w:rPr>
        <w:t>（六）其他类的诊断能力培训（</w:t>
      </w:r>
      <w:r>
        <w:rPr>
          <w:rFonts w:ascii="楷体_GB2312" w:eastAsia="楷体_GB2312"/>
          <w:szCs w:val="32"/>
        </w:rPr>
        <w:t>2</w:t>
      </w:r>
      <w:r>
        <w:rPr>
          <w:rFonts w:ascii="楷体_GB2312" w:eastAsia="楷体_GB2312" w:hint="eastAsia"/>
          <w:szCs w:val="32"/>
        </w:rPr>
        <w:t>个学时）</w:t>
      </w:r>
    </w:p>
    <w:p w:rsidR="009C48E6" w:rsidRDefault="002E318B">
      <w:pPr>
        <w:spacing w:line="560" w:lineRule="exact"/>
        <w:ind w:firstLineChars="200" w:firstLine="640"/>
        <w:rPr>
          <w:rFonts w:ascii="仿宋_GB2312" w:eastAsia="仿宋_GB2312"/>
          <w:szCs w:val="32"/>
        </w:rPr>
      </w:pPr>
      <w:r>
        <w:rPr>
          <w:rFonts w:ascii="仿宋_GB2312" w:eastAsia="仿宋_GB2312" w:hint="eastAsia"/>
          <w:szCs w:val="32"/>
        </w:rPr>
        <w:t>包括《职业病分类和目录》所列的职业性皮肤病、职业性眼病、除职业性噪声聋及职业性爆震聋以外的其他职业性耳鼻喉口腔疾病、职业性肿瘤、其他职业病。</w:t>
      </w:r>
    </w:p>
    <w:p w:rsidR="009C48E6" w:rsidRDefault="002E318B">
      <w:pPr>
        <w:spacing w:line="560" w:lineRule="exact"/>
        <w:ind w:firstLineChars="200" w:firstLine="640"/>
        <w:rPr>
          <w:rFonts w:ascii="仿宋_GB2312" w:eastAsia="仿宋_GB2312"/>
          <w:szCs w:val="32"/>
        </w:rPr>
      </w:pPr>
      <w:r>
        <w:rPr>
          <w:rFonts w:ascii="仿宋_GB2312" w:eastAsia="仿宋_GB2312" w:hint="eastAsia"/>
          <w:szCs w:val="32"/>
        </w:rPr>
        <w:t>掌握《职业性皮肤病的诊断 总则》、每种职业病的诊断</w:t>
      </w:r>
      <w:r>
        <w:rPr>
          <w:rFonts w:ascii="仿宋_GB2312" w:eastAsia="仿宋_GB2312" w:hint="eastAsia"/>
          <w:szCs w:val="32"/>
        </w:rPr>
        <w:lastRenderedPageBreak/>
        <w:t>原则、诊断依据及处理原则，疾病和接触的职业病危害因素之间因果关系判定的原则。</w:t>
      </w:r>
    </w:p>
    <w:p w:rsidR="009C48E6" w:rsidRDefault="002E318B">
      <w:pPr>
        <w:spacing w:line="560" w:lineRule="exact"/>
        <w:ind w:firstLineChars="200" w:firstLine="640"/>
        <w:rPr>
          <w:rFonts w:ascii="仿宋_GB2312" w:eastAsia="仿宋_GB2312"/>
          <w:szCs w:val="32"/>
        </w:rPr>
      </w:pPr>
      <w:r>
        <w:rPr>
          <w:rFonts w:ascii="仿宋_GB2312" w:eastAsia="仿宋_GB2312" w:hint="eastAsia"/>
          <w:szCs w:val="32"/>
        </w:rPr>
        <w:t>熟悉包含的具体职业病。</w:t>
      </w:r>
    </w:p>
    <w:p w:rsidR="009C48E6" w:rsidRDefault="002E318B">
      <w:pPr>
        <w:spacing w:line="560" w:lineRule="exact"/>
        <w:ind w:firstLineChars="200" w:firstLine="640"/>
        <w:rPr>
          <w:rFonts w:ascii="仿宋_GB2312" w:eastAsia="仿宋_GB2312"/>
          <w:szCs w:val="32"/>
        </w:rPr>
      </w:pPr>
      <w:r>
        <w:rPr>
          <w:rFonts w:ascii="仿宋_GB2312" w:eastAsia="仿宋_GB2312" w:hint="eastAsia"/>
          <w:szCs w:val="32"/>
        </w:rPr>
        <w:t>了解职业流行病学在职业病诊断中的意义。</w:t>
      </w:r>
    </w:p>
    <w:p w:rsidR="009C48E6" w:rsidRDefault="009C48E6">
      <w:pPr>
        <w:spacing w:line="560" w:lineRule="exact"/>
        <w:ind w:firstLineChars="200" w:firstLine="640"/>
      </w:pPr>
    </w:p>
    <w:sectPr w:rsidR="009C48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FD6" w:rsidRDefault="00825FD6" w:rsidP="00AA7232">
      <w:r>
        <w:separator/>
      </w:r>
    </w:p>
  </w:endnote>
  <w:endnote w:type="continuationSeparator" w:id="0">
    <w:p w:rsidR="00825FD6" w:rsidRDefault="00825FD6" w:rsidP="00AA7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altName w:val="DejaVu Sans"/>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charset w:val="86"/>
    <w:family w:val="script"/>
    <w:pitch w:val="default"/>
    <w:sig w:usb0="00000000" w:usb1="08000000" w:usb2="00000000" w:usb3="00000000" w:csb0="00040000" w:csb1="00000000"/>
  </w:font>
  <w:font w:name="方正黑体_GBK">
    <w:altName w:val="微软雅黑"/>
    <w:charset w:val="86"/>
    <w:family w:val="script"/>
    <w:pitch w:val="default"/>
    <w:sig w:usb0="00000000" w:usb1="0800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altName w:val="方正仿宋_GBK"/>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FD6" w:rsidRDefault="00825FD6" w:rsidP="00AA7232">
      <w:r>
        <w:separator/>
      </w:r>
    </w:p>
  </w:footnote>
  <w:footnote w:type="continuationSeparator" w:id="0">
    <w:p w:rsidR="00825FD6" w:rsidRDefault="00825FD6" w:rsidP="00AA72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89C533"/>
    <w:multiLevelType w:val="singleLevel"/>
    <w:tmpl w:val="5AAAA964"/>
    <w:lvl w:ilvl="0">
      <w:start w:val="4"/>
      <w:numFmt w:val="chineseCounting"/>
      <w:suff w:val="space"/>
      <w:lvlText w:val="第%1条"/>
      <w:lvlJc w:val="left"/>
      <w:rPr>
        <w:rFonts w:ascii="黑体" w:eastAsia="黑体" w:hAnsi="黑体"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284"/>
    <w:rsid w:val="8D7A2C8C"/>
    <w:rsid w:val="B32B5352"/>
    <w:rsid w:val="BB2ADD61"/>
    <w:rsid w:val="BE6E4BA0"/>
    <w:rsid w:val="CC7F9760"/>
    <w:rsid w:val="D344900E"/>
    <w:rsid w:val="DD7747CD"/>
    <w:rsid w:val="DFBB566B"/>
    <w:rsid w:val="DFBDE646"/>
    <w:rsid w:val="E1FE2481"/>
    <w:rsid w:val="EEF6F1F7"/>
    <w:rsid w:val="EFFB8708"/>
    <w:rsid w:val="F7783FEE"/>
    <w:rsid w:val="F9F6C8D5"/>
    <w:rsid w:val="001230FA"/>
    <w:rsid w:val="00145D9D"/>
    <w:rsid w:val="001503E8"/>
    <w:rsid w:val="001823AF"/>
    <w:rsid w:val="002339B3"/>
    <w:rsid w:val="002E318B"/>
    <w:rsid w:val="00341284"/>
    <w:rsid w:val="004F4E2F"/>
    <w:rsid w:val="00532BC7"/>
    <w:rsid w:val="0058788B"/>
    <w:rsid w:val="00631BEB"/>
    <w:rsid w:val="0065226E"/>
    <w:rsid w:val="00711211"/>
    <w:rsid w:val="007D26AC"/>
    <w:rsid w:val="007F2885"/>
    <w:rsid w:val="00800707"/>
    <w:rsid w:val="00825FD6"/>
    <w:rsid w:val="00854EA9"/>
    <w:rsid w:val="008E00AC"/>
    <w:rsid w:val="0092037F"/>
    <w:rsid w:val="00945879"/>
    <w:rsid w:val="009A4F3B"/>
    <w:rsid w:val="009C48E6"/>
    <w:rsid w:val="009F4898"/>
    <w:rsid w:val="009F4EC6"/>
    <w:rsid w:val="00AA7232"/>
    <w:rsid w:val="00AB3758"/>
    <w:rsid w:val="00B04B58"/>
    <w:rsid w:val="00B05266"/>
    <w:rsid w:val="00B07785"/>
    <w:rsid w:val="00B91B4D"/>
    <w:rsid w:val="00BF6D84"/>
    <w:rsid w:val="00CA7A10"/>
    <w:rsid w:val="00CC7EC2"/>
    <w:rsid w:val="00E97C03"/>
    <w:rsid w:val="00F623CA"/>
    <w:rsid w:val="00F758F3"/>
    <w:rsid w:val="00FC1E6A"/>
    <w:rsid w:val="0FF1203E"/>
    <w:rsid w:val="1CCADCB3"/>
    <w:rsid w:val="2ED37122"/>
    <w:rsid w:val="2FFE49C3"/>
    <w:rsid w:val="3F7CAC0B"/>
    <w:rsid w:val="3FA99E99"/>
    <w:rsid w:val="761BF93B"/>
    <w:rsid w:val="77BB0D57"/>
    <w:rsid w:val="7B0B2977"/>
    <w:rsid w:val="7BF8B9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041FF5-B6FD-4A2C-AB48-D4EEE6AD2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方正仿宋_GBK" w:hAnsi="Times New Roman" w:cs="Times New Roman"/>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rFonts w:ascii="Times New Roman" w:eastAsia="方正仿宋_GBK" w:hAnsi="Times New Roman" w:cs="Times New Roman"/>
      <w:kern w:val="2"/>
      <w:sz w:val="18"/>
      <w:szCs w:val="18"/>
    </w:rPr>
  </w:style>
  <w:style w:type="character" w:customStyle="1" w:styleId="a4">
    <w:name w:val="页脚 字符"/>
    <w:basedOn w:val="a0"/>
    <w:link w:val="a3"/>
    <w:uiPriority w:val="99"/>
    <w:qFormat/>
    <w:rPr>
      <w:rFonts w:ascii="Times New Roman" w:eastAsia="方正仿宋_GBK"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1588</Words>
  <Characters>1589</Characters>
  <Application>Microsoft Office Word</Application>
  <DocSecurity>0</DocSecurity>
  <Lines>79</Lines>
  <Paragraphs>59</Paragraphs>
  <ScaleCrop>false</ScaleCrop>
  <Company>china</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陈前</dc:creator>
  <cp:lastModifiedBy>QHX</cp:lastModifiedBy>
  <cp:revision>7</cp:revision>
  <cp:lastPrinted>2022-02-12T08:28:00Z</cp:lastPrinted>
  <dcterms:created xsi:type="dcterms:W3CDTF">2022-02-11T15:03:00Z</dcterms:created>
  <dcterms:modified xsi:type="dcterms:W3CDTF">2022-03-04T02:48:00Z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