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CESI宋体-GB2312" w:hAnsi="CESI宋体-GB2312" w:eastAsia="CESI宋体-GB2312" w:cs="CESI宋体-GB2312"/>
          <w:sz w:val="24"/>
          <w:szCs w:val="24"/>
          <w:lang w:val="en-US" w:eastAsia="zh-CN"/>
        </w:rPr>
      </w:pPr>
      <w:r>
        <w:rPr>
          <w:rFonts w:hint="eastAsia" w:ascii="CESI宋体-GB2312" w:hAnsi="CESI宋体-GB2312" w:eastAsia="CESI宋体-GB2312" w:cs="CESI宋体-GB2312"/>
          <w:b/>
          <w:sz w:val="24"/>
          <w:szCs w:val="24"/>
        </w:rPr>
        <w:t>附件</w:t>
      </w:r>
      <w:r>
        <w:rPr>
          <w:rFonts w:hint="eastAsia" w:ascii="CESI宋体-GB2312" w:hAnsi="CESI宋体-GB2312" w:eastAsia="CESI宋体-GB2312" w:cs="CESI宋体-GB2312"/>
          <w:b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甘肃省基层医疗卫生服务能力提升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远程培训系统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管理员</w:t>
      </w:r>
      <w:r>
        <w:rPr>
          <w:rFonts w:hint="eastAsia" w:ascii="宋体" w:hAnsi="宋体" w:eastAsia="宋体"/>
          <w:b/>
          <w:sz w:val="36"/>
          <w:szCs w:val="36"/>
        </w:rPr>
        <w:t>操作说明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ascii="仿宋" w:hAnsi="仿宋" w:eastAsia="仿宋"/>
          <w:sz w:val="32"/>
          <w:szCs w:val="32"/>
        </w:rPr>
      </w:pPr>
      <w:bookmarkStart w:id="0" w:name="_Toc12293_WPSOffice_Level3"/>
      <w:bookmarkStart w:id="1" w:name="_Toc24236_WPSOffice_Level3"/>
      <w:bookmarkStart w:id="2" w:name="_Toc20207_WPSOffice_Level3"/>
      <w:bookmarkStart w:id="3" w:name="_Toc30497_WPSOffice_Level1"/>
      <w:bookmarkStart w:id="4" w:name="_Toc31014_WPSOffice_Level3"/>
      <w:bookmarkStart w:id="5" w:name="_Toc21976_WPSOffice_Level3"/>
      <w:bookmarkStart w:id="6" w:name="_Toc25150"/>
      <w:bookmarkStart w:id="7" w:name="_Toc1124"/>
    </w:p>
    <w:bookmarkEnd w:id="0"/>
    <w:bookmarkEnd w:id="1"/>
    <w:bookmarkEnd w:id="2"/>
    <w:bookmarkEnd w:id="3"/>
    <w:bookmarkEnd w:id="4"/>
    <w:bookmarkEnd w:id="5"/>
    <w:bookmarkEnd w:id="6"/>
    <w:bookmarkEnd w:id="7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</w:rPr>
      </w:pPr>
      <w:bookmarkStart w:id="8" w:name="_Toc4581_WPSOffice_Level2"/>
      <w:r>
        <w:rPr>
          <w:rFonts w:hint="eastAsia" w:ascii="黑体" w:hAnsi="黑体" w:eastAsia="黑体"/>
          <w:sz w:val="28"/>
          <w:szCs w:val="28"/>
        </w:rPr>
        <w:t>一、</w:t>
      </w:r>
      <w:bookmarkEnd w:id="8"/>
      <w:r>
        <w:rPr>
          <w:rFonts w:hint="eastAsia" w:ascii="黑体" w:hAnsi="黑体" w:eastAsia="黑体"/>
          <w:sz w:val="28"/>
          <w:szCs w:val="28"/>
        </w:rPr>
        <w:t>系统登录方法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各级</w:t>
      </w:r>
      <w:r>
        <w:rPr>
          <w:rFonts w:ascii="仿宋" w:hAnsi="仿宋" w:eastAsia="仿宋"/>
          <w:sz w:val="28"/>
          <w:szCs w:val="28"/>
        </w:rPr>
        <w:t>卫生健康</w:t>
      </w:r>
      <w:r>
        <w:rPr>
          <w:rFonts w:hint="eastAsia" w:ascii="仿宋" w:hAnsi="仿宋" w:eastAsia="仿宋"/>
          <w:sz w:val="28"/>
          <w:szCs w:val="28"/>
        </w:rPr>
        <w:t>行政部门和</w:t>
      </w:r>
      <w:r>
        <w:rPr>
          <w:rFonts w:ascii="仿宋" w:hAnsi="仿宋" w:eastAsia="仿宋"/>
          <w:sz w:val="28"/>
          <w:szCs w:val="28"/>
        </w:rPr>
        <w:t>各基层</w:t>
      </w:r>
      <w:r>
        <w:rPr>
          <w:rFonts w:hint="eastAsia" w:ascii="仿宋" w:hAnsi="仿宋" w:eastAsia="仿宋"/>
          <w:sz w:val="28"/>
          <w:szCs w:val="28"/>
        </w:rPr>
        <w:t>医疗</w:t>
      </w:r>
      <w:r>
        <w:rPr>
          <w:rFonts w:hint="eastAsia" w:ascii="仿宋" w:hAnsi="仿宋" w:eastAsia="仿宋"/>
          <w:sz w:val="28"/>
          <w:szCs w:val="28"/>
          <w:lang w:eastAsia="zh-CN"/>
        </w:rPr>
        <w:t>卫生</w:t>
      </w:r>
      <w:r>
        <w:rPr>
          <w:rFonts w:hint="eastAsia" w:ascii="仿宋" w:hAnsi="仿宋" w:eastAsia="仿宋"/>
          <w:sz w:val="28"/>
          <w:szCs w:val="28"/>
        </w:rPr>
        <w:t>机构系统管理员进入“甘肃省基层卫生管理平台</w:t>
      </w:r>
      <w:r>
        <w:rPr>
          <w:rFonts w:hint="eastAsia" w:ascii="仿宋" w:hAnsi="仿宋" w:eastAsia="仿宋"/>
          <w:sz w:val="28"/>
          <w:szCs w:val="28"/>
          <w:lang w:eastAsia="zh-CN"/>
        </w:rPr>
        <w:t>（以下简称“平台”）</w:t>
      </w:r>
      <w:r>
        <w:rPr>
          <w:rFonts w:hint="eastAsia" w:ascii="仿宋" w:hAnsi="仿宋" w:eastAsia="仿宋"/>
          <w:sz w:val="28"/>
          <w:szCs w:val="28"/>
        </w:rPr>
        <w:t>”→点击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基层卫生人员</w:t>
      </w:r>
      <w:r>
        <w:rPr>
          <w:rFonts w:ascii="仿宋" w:hAnsi="仿宋" w:eastAsia="仿宋"/>
          <w:sz w:val="28"/>
          <w:szCs w:val="28"/>
        </w:rPr>
        <w:t>培训”</w:t>
      </w:r>
      <w:r>
        <w:rPr>
          <w:rFonts w:hint="eastAsia" w:ascii="仿宋" w:hAnsi="仿宋" w:eastAsia="仿宋"/>
          <w:sz w:val="28"/>
          <w:szCs w:val="28"/>
        </w:rPr>
        <w:t>模块 →点击“管理员登录”模块，输入管理员账号、密码（管理员的账号、密码与“平台”账号、密码相同）。点击“登录”进入</w:t>
      </w:r>
      <w:r>
        <w:rPr>
          <w:rFonts w:ascii="仿宋" w:hAnsi="仿宋" w:eastAsia="仿宋"/>
          <w:sz w:val="28"/>
          <w:szCs w:val="28"/>
        </w:rPr>
        <w:t>培训系统</w:t>
      </w:r>
      <w:r>
        <w:rPr>
          <w:rFonts w:hint="eastAsia" w:ascii="仿宋" w:hAnsi="仿宋" w:eastAsia="仿宋"/>
          <w:sz w:val="28"/>
          <w:szCs w:val="28"/>
        </w:rPr>
        <w:t>，进行管理员相关操作。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/>
          <w:sz w:val="28"/>
          <w:szCs w:val="28"/>
          <w:lang w:eastAsia="zh-CN"/>
        </w:rPr>
        <w:t>系统</w:t>
      </w:r>
      <w:r>
        <w:rPr>
          <w:rFonts w:hint="eastAsia" w:ascii="黑体" w:hAnsi="黑体" w:eastAsia="黑体"/>
          <w:sz w:val="28"/>
          <w:szCs w:val="28"/>
        </w:rPr>
        <w:t>管理员培训监管相关操作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系统</w:t>
      </w:r>
      <w:r>
        <w:rPr>
          <w:rFonts w:hint="eastAsia" w:ascii="仿宋" w:hAnsi="仿宋" w:eastAsia="仿宋"/>
          <w:sz w:val="28"/>
          <w:szCs w:val="28"/>
        </w:rPr>
        <w:t>管理员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</w:rPr>
        <w:t>各级卫生健康行政部门</w:t>
      </w:r>
      <w:r>
        <w:rPr>
          <w:rFonts w:hint="eastAsia" w:ascii="仿宋" w:hAnsi="仿宋" w:eastAsia="仿宋"/>
          <w:sz w:val="28"/>
          <w:szCs w:val="28"/>
          <w:lang w:eastAsia="zh-CN"/>
        </w:rPr>
        <w:t>基层卫生处（科）</w:t>
      </w:r>
      <w:r>
        <w:rPr>
          <w:rFonts w:hint="eastAsia" w:ascii="仿宋" w:hAnsi="仿宋" w:eastAsia="仿宋"/>
          <w:sz w:val="28"/>
          <w:szCs w:val="28"/>
        </w:rPr>
        <w:t>负责人或业务经办人员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登录系统后，可根据工作需要选择“培训管理”“考试管理”“统计查询”“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直播管理</w:t>
      </w:r>
      <w:r>
        <w:rPr>
          <w:rFonts w:hint="eastAsia" w:ascii="仿宋" w:hAnsi="仿宋" w:eastAsia="仿宋"/>
          <w:sz w:val="28"/>
          <w:szCs w:val="28"/>
        </w:rPr>
        <w:t>”“单位管理”</w:t>
      </w:r>
      <w:r>
        <w:rPr>
          <w:rFonts w:hint="eastAsia" w:ascii="仿宋" w:hAnsi="仿宋" w:eastAsia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/>
          <w:sz w:val="28"/>
          <w:szCs w:val="28"/>
        </w:rPr>
        <w:t>五个功能菜单实施操作。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CESI楷体-GB2312" w:hAnsi="CESI楷体-GB2312" w:eastAsia="CESI楷体-GB2312" w:cs="CESI楷体-GB2312"/>
          <w:b w:val="0"/>
          <w:bCs w:val="0"/>
          <w:sz w:val="28"/>
          <w:szCs w:val="28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sz w:val="28"/>
          <w:szCs w:val="28"/>
          <w:lang w:eastAsia="zh-CN"/>
        </w:rPr>
        <w:t>（一）</w:t>
      </w:r>
      <w:r>
        <w:rPr>
          <w:rFonts w:hint="eastAsia" w:ascii="CESI楷体-GB2312" w:hAnsi="CESI楷体-GB2312" w:eastAsia="CESI楷体-GB2312" w:cs="CESI楷体-GB2312"/>
          <w:b w:val="0"/>
          <w:bCs w:val="0"/>
          <w:sz w:val="28"/>
          <w:szCs w:val="28"/>
        </w:rPr>
        <w:t>培训管理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各级卫生健康行政部门在其管理权限范围内组织系统内</w:t>
      </w:r>
      <w:r>
        <w:rPr>
          <w:rFonts w:hint="eastAsia" w:ascii="仿宋" w:hAnsi="仿宋" w:eastAsia="仿宋"/>
          <w:sz w:val="28"/>
          <w:szCs w:val="28"/>
          <w:lang w:eastAsia="zh-CN"/>
        </w:rPr>
        <w:t>培训</w:t>
      </w:r>
      <w:r>
        <w:rPr>
          <w:rFonts w:hint="eastAsia" w:ascii="仿宋" w:hAnsi="仿宋" w:eastAsia="仿宋"/>
          <w:sz w:val="28"/>
          <w:szCs w:val="28"/>
        </w:rPr>
        <w:t>人员实施远程在线培训、考核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包括创建培训项目、查看与修改培训、添加参培人员、培训基地管理及培训师资管理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等工作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CESI楷体-GB2312" w:hAnsi="CESI楷体-GB2312" w:eastAsia="CESI楷体-GB2312" w:cs="CESI楷体-GB2312"/>
          <w:b w:val="0"/>
          <w:bCs w:val="0"/>
          <w:sz w:val="28"/>
          <w:szCs w:val="28"/>
          <w:lang w:eastAsia="zh-CN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sz w:val="28"/>
          <w:szCs w:val="28"/>
          <w:lang w:val="en-US" w:eastAsia="zh-CN"/>
        </w:rPr>
        <w:t>（二）</w:t>
      </w:r>
      <w:r>
        <w:rPr>
          <w:rFonts w:hint="eastAsia" w:ascii="CESI楷体-GB2312" w:hAnsi="CESI楷体-GB2312" w:eastAsia="CESI楷体-GB2312" w:cs="CESI楷体-GB2312"/>
          <w:b w:val="0"/>
          <w:bCs w:val="0"/>
          <w:sz w:val="28"/>
          <w:szCs w:val="28"/>
          <w:lang w:eastAsia="zh-CN"/>
        </w:rPr>
        <w:t>考试管理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系统设有培训题库，以满足课后练习、阶段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抽考、结业考试</w:t>
      </w:r>
      <w:r>
        <w:rPr>
          <w:rFonts w:hint="eastAsia" w:ascii="仿宋" w:hAnsi="仿宋" w:eastAsia="仿宋"/>
          <w:sz w:val="28"/>
          <w:szCs w:val="28"/>
        </w:rPr>
        <w:t>等各项培训考核工作的试题需求。各级卫生健康行政部门在其管理权限范围内组织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参培</w:t>
      </w:r>
      <w:r>
        <w:rPr>
          <w:rFonts w:hint="eastAsia" w:ascii="仿宋" w:hAnsi="仿宋" w:eastAsia="仿宋"/>
          <w:sz w:val="28"/>
          <w:szCs w:val="28"/>
        </w:rPr>
        <w:t>人员实施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在线考核，进行抽考管理、考试成绩统计、考试成绩管理等工作。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CESI楷体-GB2312" w:hAnsi="CESI楷体-GB2312" w:eastAsia="CESI楷体-GB2312" w:cs="CESI楷体-GB2312"/>
          <w:b w:val="0"/>
          <w:bCs w:val="0"/>
          <w:sz w:val="28"/>
          <w:szCs w:val="28"/>
          <w:lang w:eastAsia="zh-CN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sz w:val="28"/>
          <w:szCs w:val="28"/>
          <w:lang w:val="en-US" w:eastAsia="zh-CN"/>
        </w:rPr>
        <w:t>（三）</w:t>
      </w:r>
      <w:r>
        <w:rPr>
          <w:rFonts w:hint="eastAsia" w:ascii="CESI楷体-GB2312" w:hAnsi="CESI楷体-GB2312" w:eastAsia="CESI楷体-GB2312" w:cs="CESI楷体-GB2312"/>
          <w:b w:val="0"/>
          <w:bCs w:val="0"/>
          <w:sz w:val="28"/>
          <w:szCs w:val="28"/>
          <w:lang w:eastAsia="zh-CN"/>
        </w:rPr>
        <w:t>统计查询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通过该功能可进行相关培训数据查看，如课程学习进度查询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课程学习完成率统计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课程学习进度统计、报名参培人数</w:t>
      </w:r>
      <w:r>
        <w:rPr>
          <w:rFonts w:hint="eastAsia" w:ascii="仿宋" w:hAnsi="仿宋" w:eastAsia="仿宋"/>
          <w:sz w:val="28"/>
          <w:szCs w:val="28"/>
        </w:rPr>
        <w:t>统计、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系统在册人数</w:t>
      </w:r>
      <w:r>
        <w:rPr>
          <w:rFonts w:hint="eastAsia" w:ascii="仿宋" w:hAnsi="仿宋" w:eastAsia="仿宋"/>
          <w:sz w:val="28"/>
          <w:szCs w:val="28"/>
        </w:rPr>
        <w:t>统计等。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CESI楷体-GB2312" w:hAnsi="CESI楷体-GB2312" w:eastAsia="CESI楷体-GB2312" w:cs="CESI楷体-GB2312"/>
          <w:b w:val="0"/>
          <w:bCs w:val="0"/>
          <w:sz w:val="28"/>
          <w:szCs w:val="28"/>
          <w:lang w:eastAsia="zh-CN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sz w:val="28"/>
          <w:szCs w:val="28"/>
          <w:lang w:val="en-US" w:eastAsia="zh-CN"/>
        </w:rPr>
        <w:t>（四）</w:t>
      </w:r>
      <w:r>
        <w:rPr>
          <w:rFonts w:hint="eastAsia" w:ascii="CESI楷体-GB2312" w:hAnsi="CESI楷体-GB2312" w:eastAsia="CESI楷体-GB2312" w:cs="CESI楷体-GB2312"/>
          <w:b w:val="0"/>
          <w:bCs w:val="0"/>
          <w:sz w:val="28"/>
          <w:szCs w:val="28"/>
          <w:lang w:eastAsia="zh-CN"/>
        </w:rPr>
        <w:t>单位管理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通过该功能可查看下级单位的单位账号及密码。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三、基层医疗卫生机构管理员相关操作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基层</w:t>
      </w:r>
      <w:r>
        <w:rPr>
          <w:rFonts w:hint="eastAsia" w:ascii="仿宋" w:hAnsi="仿宋" w:eastAsia="仿宋"/>
          <w:sz w:val="28"/>
          <w:szCs w:val="28"/>
        </w:rPr>
        <w:t>医疗</w:t>
      </w:r>
      <w:r>
        <w:rPr>
          <w:rFonts w:hint="eastAsia" w:ascii="仿宋" w:hAnsi="仿宋" w:eastAsia="仿宋"/>
          <w:sz w:val="28"/>
          <w:szCs w:val="28"/>
          <w:lang w:eastAsia="zh-CN"/>
        </w:rPr>
        <w:t>卫生</w:t>
      </w:r>
      <w:r>
        <w:rPr>
          <w:rFonts w:hint="eastAsia" w:ascii="仿宋" w:hAnsi="仿宋" w:eastAsia="仿宋"/>
          <w:sz w:val="28"/>
          <w:szCs w:val="28"/>
        </w:rPr>
        <w:t>机构管理员登录系统后，可根据工作开展需要选择“人员管理”“培训管理”“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/>
          <w:sz w:val="28"/>
          <w:szCs w:val="28"/>
        </w:rPr>
        <w:t>管理”“统计查询”</w:t>
      </w:r>
      <w:bookmarkStart w:id="9" w:name="_GoBack"/>
      <w:bookmarkEnd w:id="9"/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单位管理</w:t>
      </w:r>
      <w:r>
        <w:rPr>
          <w:rFonts w:hint="eastAsia" w:ascii="仿宋" w:hAnsi="仿宋" w:eastAsia="仿宋"/>
          <w:sz w:val="28"/>
          <w:szCs w:val="28"/>
        </w:rPr>
        <w:t>”功能菜单实施操作。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CESI楷体-GB2312" w:hAnsi="CESI楷体-GB2312" w:eastAsia="CESI楷体-GB2312" w:cs="CESI楷体-GB2312"/>
          <w:sz w:val="28"/>
          <w:szCs w:val="28"/>
        </w:rPr>
      </w:pPr>
      <w:r>
        <w:rPr>
          <w:rFonts w:hint="eastAsia" w:ascii="CESI楷体-GB2312" w:hAnsi="CESI楷体-GB2312" w:eastAsia="CESI楷体-GB2312" w:cs="CESI楷体-GB2312"/>
          <w:sz w:val="28"/>
          <w:szCs w:val="28"/>
          <w:lang w:eastAsia="zh-CN"/>
        </w:rPr>
        <w:t>（一）</w:t>
      </w:r>
      <w:r>
        <w:rPr>
          <w:rFonts w:hint="eastAsia" w:ascii="CESI楷体-GB2312" w:hAnsi="CESI楷体-GB2312" w:eastAsia="CESI楷体-GB2312" w:cs="CESI楷体-GB2312"/>
          <w:sz w:val="28"/>
          <w:szCs w:val="28"/>
        </w:rPr>
        <w:t>人员管理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可依托本系统进行基层卫生人员管理，包括人员信息查询、添加、查看、修改、导出。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本系统已完成与“平台”人员信息对接，单位管理员登录后，可在“人员管理”列表中查询到既往已经在“平台”注册的基层卫生人员信息，此部分人员信息不需要重复添加。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既往未在“平台”注册的基层卫生人员，管理员可通过“添加”功能进入手工录入，也可通知学员登录系统首页进行注册；已注册人员若信息有误，可选中该人员，点击“修改”进行人员信息修改完善。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CESI楷体-GB2312" w:hAnsi="CESI楷体-GB2312" w:eastAsia="CESI楷体-GB2312" w:cs="CESI楷体-GB2312"/>
          <w:sz w:val="28"/>
          <w:szCs w:val="28"/>
        </w:rPr>
      </w:pPr>
      <w:r>
        <w:rPr>
          <w:rFonts w:hint="eastAsia" w:ascii="CESI楷体-GB2312" w:hAnsi="CESI楷体-GB2312" w:eastAsia="CESI楷体-GB2312" w:cs="CESI楷体-GB2312"/>
          <w:sz w:val="28"/>
          <w:szCs w:val="28"/>
          <w:lang w:eastAsia="zh-CN"/>
        </w:rPr>
        <w:t>（二）</w:t>
      </w:r>
      <w:r>
        <w:rPr>
          <w:rFonts w:hint="eastAsia" w:ascii="CESI楷体-GB2312" w:hAnsi="CESI楷体-GB2312" w:eastAsia="CESI楷体-GB2312" w:cs="CESI楷体-GB2312"/>
          <w:sz w:val="28"/>
          <w:szCs w:val="28"/>
        </w:rPr>
        <w:t>培训管理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可依托本系统进行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培训人员管理，包括</w:t>
      </w:r>
      <w:r>
        <w:rPr>
          <w:rFonts w:hint="eastAsia" w:ascii="仿宋" w:hAnsi="仿宋" w:eastAsia="仿宋"/>
          <w:sz w:val="28"/>
          <w:szCs w:val="28"/>
        </w:rPr>
        <w:t>添加、删除参培人员，查看、导出参培人员明细。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选择培训班，点击“添加”，可通过人员列表选择需要参加培训的人员，选择人员后，点击“提交名单”，完成参培人员添加。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选择培训班，点击“查看”，可查看此培训班的参培人员</w:t>
      </w:r>
      <w:r>
        <w:rPr>
          <w:rFonts w:hint="eastAsia" w:ascii="仿宋" w:hAnsi="仿宋" w:eastAsia="仿宋"/>
          <w:sz w:val="28"/>
          <w:szCs w:val="28"/>
          <w:lang w:eastAsia="zh-CN"/>
        </w:rPr>
        <w:t>信息，也可</w:t>
      </w:r>
      <w:r>
        <w:rPr>
          <w:rFonts w:hint="eastAsia" w:ascii="仿宋" w:hAnsi="仿宋" w:eastAsia="仿宋"/>
          <w:sz w:val="28"/>
          <w:szCs w:val="28"/>
        </w:rPr>
        <w:t>通过证件号、姓名精确查询参培人员</w:t>
      </w:r>
      <w:r>
        <w:rPr>
          <w:rFonts w:hint="eastAsia" w:ascii="仿宋" w:hAnsi="仿宋" w:eastAsia="仿宋"/>
          <w:sz w:val="28"/>
          <w:szCs w:val="28"/>
          <w:lang w:eastAsia="zh-CN"/>
        </w:rPr>
        <w:t>信息。</w:t>
      </w:r>
      <w:r>
        <w:rPr>
          <w:rFonts w:hint="eastAsia" w:ascii="仿宋" w:hAnsi="仿宋" w:eastAsia="仿宋"/>
          <w:sz w:val="28"/>
          <w:szCs w:val="28"/>
        </w:rPr>
        <w:t>可通过“删除”功能，将人员从培训班中删除，取消参培。参培人员</w:t>
      </w:r>
      <w:r>
        <w:rPr>
          <w:rFonts w:hint="eastAsia" w:ascii="仿宋" w:hAnsi="仿宋" w:eastAsia="仿宋"/>
          <w:sz w:val="28"/>
          <w:szCs w:val="28"/>
          <w:lang w:eastAsia="zh-CN"/>
        </w:rPr>
        <w:t>信息</w:t>
      </w:r>
      <w:r>
        <w:rPr>
          <w:rFonts w:hint="eastAsia" w:ascii="仿宋" w:hAnsi="仿宋" w:eastAsia="仿宋"/>
          <w:sz w:val="28"/>
          <w:szCs w:val="28"/>
        </w:rPr>
        <w:t>支持导出。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CESI楷体-GB2312" w:hAnsi="CESI楷体-GB2312" w:eastAsia="CESI楷体-GB2312" w:cs="CESI楷体-GB2312"/>
          <w:sz w:val="28"/>
          <w:szCs w:val="28"/>
        </w:rPr>
      </w:pPr>
      <w:r>
        <w:rPr>
          <w:rFonts w:hint="eastAsia" w:ascii="CESI楷体-GB2312" w:hAnsi="CESI楷体-GB2312" w:eastAsia="CESI楷体-GB2312" w:cs="CESI楷体-GB2312"/>
          <w:sz w:val="28"/>
          <w:szCs w:val="28"/>
          <w:lang w:val="en-US" w:eastAsia="zh-CN"/>
        </w:rPr>
        <w:t>（三）考试</w:t>
      </w:r>
      <w:r>
        <w:rPr>
          <w:rFonts w:hint="eastAsia" w:ascii="CESI楷体-GB2312" w:hAnsi="CESI楷体-GB2312" w:eastAsia="CESI楷体-GB2312" w:cs="CESI楷体-GB2312"/>
          <w:sz w:val="28"/>
          <w:szCs w:val="28"/>
        </w:rPr>
        <w:t>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通过该功能可进行考试成绩管理、考试成绩统计、抽考管理。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1.考试成绩管理：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选择培训班，点击“查找”，可查询该培训班人员各类考核成绩，支持导出考核成绩明细；选择培训班，点击“导入比武考核成绩”/“导入日常考核成绩”/“导入群众考核成绩”，点击“导入模板下载”，按照模板要求录入成绩，保存文档后再次点击“导入比武考核成绩”/“导入日常考核成绩”/“导入群众考核成绩”，选择文档，预览上传至系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2.考试成绩统计：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选择培训班、考核类型，可根据个性需求设置分数段进行考试成绩统计，统计结果支持导出。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3.抽考管理：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可根据考试名称，查看抽考考试基本信息（包括试卷题数、卷面总分、及格分数、考试时长等）；查看抽考人员明细（包括姓名、身份证号、抽考成绩等），明细支持导出。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CESI楷体-GB2312" w:hAnsi="CESI楷体-GB2312" w:eastAsia="CESI楷体-GB2312" w:cs="CESI楷体-GB2312"/>
          <w:sz w:val="28"/>
          <w:szCs w:val="28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z w:val="28"/>
          <w:szCs w:val="28"/>
          <w:lang w:val="en-US" w:eastAsia="zh-CN"/>
        </w:rPr>
        <w:t>（四）统计查询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通过该功能可查看相关培训数据，如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课程</w:t>
      </w:r>
      <w:r>
        <w:rPr>
          <w:rFonts w:hint="eastAsia" w:ascii="仿宋" w:hAnsi="仿宋" w:eastAsia="仿宋"/>
          <w:sz w:val="28"/>
          <w:szCs w:val="28"/>
        </w:rPr>
        <w:t>学习进度查询、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课程学习完成率统计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课程学习进度统计、报名参培人数</w:t>
      </w:r>
      <w:r>
        <w:rPr>
          <w:rFonts w:hint="eastAsia" w:ascii="仿宋" w:hAnsi="仿宋" w:eastAsia="仿宋"/>
          <w:sz w:val="28"/>
          <w:szCs w:val="28"/>
        </w:rPr>
        <w:t>统计、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系统在册人数</w:t>
      </w:r>
      <w:r>
        <w:rPr>
          <w:rFonts w:hint="eastAsia" w:ascii="仿宋" w:hAnsi="仿宋" w:eastAsia="仿宋"/>
          <w:sz w:val="28"/>
          <w:szCs w:val="28"/>
        </w:rPr>
        <w:t>统计等。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CESI楷体-GB2312" w:hAnsi="CESI楷体-GB2312" w:eastAsia="CESI楷体-GB2312" w:cs="CESI楷体-GB2312"/>
          <w:sz w:val="28"/>
          <w:szCs w:val="28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z w:val="28"/>
          <w:szCs w:val="28"/>
          <w:lang w:val="en-US" w:eastAsia="zh-CN"/>
        </w:rPr>
        <w:t>（五）单位管理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通过该功能可查看下级单位的单位账号及密码。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B23FA"/>
    <w:rsid w:val="00013452"/>
    <w:rsid w:val="000B2A7F"/>
    <w:rsid w:val="00114DF9"/>
    <w:rsid w:val="001306BC"/>
    <w:rsid w:val="0015012C"/>
    <w:rsid w:val="00164341"/>
    <w:rsid w:val="001A6AFE"/>
    <w:rsid w:val="001E7A67"/>
    <w:rsid w:val="00215234"/>
    <w:rsid w:val="00222921"/>
    <w:rsid w:val="0023597C"/>
    <w:rsid w:val="00240BBF"/>
    <w:rsid w:val="002514EA"/>
    <w:rsid w:val="002B174A"/>
    <w:rsid w:val="002C5C7F"/>
    <w:rsid w:val="002C7583"/>
    <w:rsid w:val="00303BF7"/>
    <w:rsid w:val="003216E4"/>
    <w:rsid w:val="0032722E"/>
    <w:rsid w:val="003479EF"/>
    <w:rsid w:val="003719E6"/>
    <w:rsid w:val="003D4903"/>
    <w:rsid w:val="00415FF2"/>
    <w:rsid w:val="00420B1F"/>
    <w:rsid w:val="00464B69"/>
    <w:rsid w:val="004821A8"/>
    <w:rsid w:val="004D7417"/>
    <w:rsid w:val="005014E3"/>
    <w:rsid w:val="00502BED"/>
    <w:rsid w:val="00533D8F"/>
    <w:rsid w:val="005429F4"/>
    <w:rsid w:val="00567793"/>
    <w:rsid w:val="005E65B5"/>
    <w:rsid w:val="005F7867"/>
    <w:rsid w:val="00617E35"/>
    <w:rsid w:val="00633D06"/>
    <w:rsid w:val="00633D10"/>
    <w:rsid w:val="006626ED"/>
    <w:rsid w:val="0067190D"/>
    <w:rsid w:val="00696A37"/>
    <w:rsid w:val="006A1E45"/>
    <w:rsid w:val="006C485E"/>
    <w:rsid w:val="006E2162"/>
    <w:rsid w:val="00792C47"/>
    <w:rsid w:val="007A5DF6"/>
    <w:rsid w:val="007B75E5"/>
    <w:rsid w:val="007D166E"/>
    <w:rsid w:val="007F07F6"/>
    <w:rsid w:val="007F2721"/>
    <w:rsid w:val="007F61E6"/>
    <w:rsid w:val="008222E1"/>
    <w:rsid w:val="0082599B"/>
    <w:rsid w:val="00830009"/>
    <w:rsid w:val="00852D99"/>
    <w:rsid w:val="0088247A"/>
    <w:rsid w:val="0088629F"/>
    <w:rsid w:val="008A50DD"/>
    <w:rsid w:val="008C68F2"/>
    <w:rsid w:val="00915156"/>
    <w:rsid w:val="0091652F"/>
    <w:rsid w:val="00937E77"/>
    <w:rsid w:val="00943178"/>
    <w:rsid w:val="00956170"/>
    <w:rsid w:val="00977740"/>
    <w:rsid w:val="009833C0"/>
    <w:rsid w:val="00991BFC"/>
    <w:rsid w:val="00A21DE2"/>
    <w:rsid w:val="00A5558B"/>
    <w:rsid w:val="00A720F8"/>
    <w:rsid w:val="00A86EF1"/>
    <w:rsid w:val="00AD5200"/>
    <w:rsid w:val="00AE7E5A"/>
    <w:rsid w:val="00AF660F"/>
    <w:rsid w:val="00B4712C"/>
    <w:rsid w:val="00B55190"/>
    <w:rsid w:val="00B84BB0"/>
    <w:rsid w:val="00BB49B5"/>
    <w:rsid w:val="00C1766B"/>
    <w:rsid w:val="00C17ACF"/>
    <w:rsid w:val="00C51C7F"/>
    <w:rsid w:val="00C63083"/>
    <w:rsid w:val="00CB23FA"/>
    <w:rsid w:val="00CC5343"/>
    <w:rsid w:val="00CD524E"/>
    <w:rsid w:val="00D11F32"/>
    <w:rsid w:val="00D12788"/>
    <w:rsid w:val="00D2333C"/>
    <w:rsid w:val="00D322B8"/>
    <w:rsid w:val="00D55B9A"/>
    <w:rsid w:val="00D57FCF"/>
    <w:rsid w:val="00DA2E4D"/>
    <w:rsid w:val="00DB1742"/>
    <w:rsid w:val="00DD4676"/>
    <w:rsid w:val="00DE36CF"/>
    <w:rsid w:val="00E27E5D"/>
    <w:rsid w:val="00E454F3"/>
    <w:rsid w:val="00E8170E"/>
    <w:rsid w:val="00E83E30"/>
    <w:rsid w:val="00EB30C1"/>
    <w:rsid w:val="00EC45B0"/>
    <w:rsid w:val="00ED6F6E"/>
    <w:rsid w:val="00F24387"/>
    <w:rsid w:val="00F27CA0"/>
    <w:rsid w:val="00F32166"/>
    <w:rsid w:val="00F423C0"/>
    <w:rsid w:val="00F65938"/>
    <w:rsid w:val="0ACD3FD3"/>
    <w:rsid w:val="0AE91E69"/>
    <w:rsid w:val="0C3C2116"/>
    <w:rsid w:val="0F141962"/>
    <w:rsid w:val="10C50482"/>
    <w:rsid w:val="1A3D3C83"/>
    <w:rsid w:val="21115793"/>
    <w:rsid w:val="22144D59"/>
    <w:rsid w:val="26F07051"/>
    <w:rsid w:val="2C81443B"/>
    <w:rsid w:val="2CD33E21"/>
    <w:rsid w:val="2ED32D22"/>
    <w:rsid w:val="3590254F"/>
    <w:rsid w:val="3B421F87"/>
    <w:rsid w:val="3FAFFDE2"/>
    <w:rsid w:val="3FE4627A"/>
    <w:rsid w:val="451F4635"/>
    <w:rsid w:val="45E359E3"/>
    <w:rsid w:val="47F82599"/>
    <w:rsid w:val="4EC2112C"/>
    <w:rsid w:val="59526D4D"/>
    <w:rsid w:val="5A8312A6"/>
    <w:rsid w:val="5F6EA33E"/>
    <w:rsid w:val="628D2307"/>
    <w:rsid w:val="65355F9B"/>
    <w:rsid w:val="6BFDCA04"/>
    <w:rsid w:val="6F84687E"/>
    <w:rsid w:val="71792DD1"/>
    <w:rsid w:val="73E01518"/>
    <w:rsid w:val="73E15BA5"/>
    <w:rsid w:val="7BFF7DC2"/>
    <w:rsid w:val="7DC971E9"/>
    <w:rsid w:val="8FEBD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6">
    <w:name w:val="annotation text"/>
    <w:basedOn w:val="1"/>
    <w:unhideWhenUsed/>
    <w:qFormat/>
    <w:uiPriority w:val="99"/>
    <w:pPr>
      <w:jc w:val="left"/>
    </w:p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9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8"/>
    <w:qFormat/>
    <w:uiPriority w:val="99"/>
    <w:rPr>
      <w:sz w:val="18"/>
      <w:szCs w:val="18"/>
    </w:rPr>
  </w:style>
  <w:style w:type="paragraph" w:customStyle="1" w:styleId="16">
    <w:name w:val="列出段落2"/>
    <w:basedOn w:val="1"/>
    <w:qFormat/>
    <w:uiPriority w:val="34"/>
    <w:pPr>
      <w:ind w:firstLine="420" w:firstLineChars="200"/>
    </w:pPr>
  </w:style>
  <w:style w:type="paragraph" w:customStyle="1" w:styleId="17">
    <w:name w:val="样式1"/>
    <w:basedOn w:val="1"/>
    <w:qFormat/>
    <w:uiPriority w:val="0"/>
    <w:rPr>
      <w:rFonts w:ascii="宋体" w:hAnsi="宋体"/>
      <w:szCs w:val="21"/>
    </w:rPr>
  </w:style>
  <w:style w:type="character" w:customStyle="1" w:styleId="18">
    <w:name w:val="批注框文本 字符"/>
    <w:basedOn w:val="11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1562</Words>
  <Characters>1562</Characters>
  <Lines>32</Lines>
  <Paragraphs>9</Paragraphs>
  <TotalTime>1</TotalTime>
  <ScaleCrop>false</ScaleCrop>
  <LinksUpToDate>false</LinksUpToDate>
  <CharactersWithSpaces>1563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2018-07-19T13:00:00Z</dcterms:created>
  <dc:creator>lenovo</dc:creator>
  <cp:lastModifiedBy>gsswjw</cp:lastModifiedBy>
  <dcterms:modified xsi:type="dcterms:W3CDTF">2022-02-09T12:58:11Z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