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B4" w:rsidRDefault="004173B4" w:rsidP="004173B4">
      <w:pPr>
        <w:ind w:right="320"/>
        <w:rPr>
          <w:rFonts w:ascii="仿宋_GB2312" w:eastAsia="仿宋_GB2312"/>
          <w:sz w:val="32"/>
          <w:szCs w:val="32"/>
        </w:rPr>
      </w:pPr>
      <w:r w:rsidRPr="00256BD6">
        <w:rPr>
          <w:rFonts w:ascii="仿宋_GB2312" w:eastAsia="仿宋_GB2312" w:hint="eastAsia"/>
          <w:sz w:val="32"/>
          <w:szCs w:val="32"/>
        </w:rPr>
        <w:t>附件</w:t>
      </w:r>
    </w:p>
    <w:p w:rsidR="004173B4" w:rsidRDefault="004173B4" w:rsidP="004173B4">
      <w:pPr>
        <w:ind w:right="320"/>
        <w:jc w:val="center"/>
        <w:rPr>
          <w:rFonts w:ascii="方正小标宋简体" w:eastAsia="方正小标宋简体"/>
          <w:sz w:val="44"/>
          <w:szCs w:val="44"/>
        </w:rPr>
      </w:pPr>
      <w:bookmarkStart w:id="0" w:name="_GoBack"/>
      <w:r w:rsidRPr="00256BD6">
        <w:rPr>
          <w:rFonts w:ascii="方正小标宋简体" w:eastAsia="方正小标宋简体" w:hint="eastAsia"/>
          <w:sz w:val="44"/>
          <w:szCs w:val="44"/>
        </w:rPr>
        <w:t>甘肃省卫生健康部门轻微违法行为不予处罚事项清单（第二批）</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60"/>
        <w:gridCol w:w="3628"/>
        <w:gridCol w:w="5101"/>
        <w:gridCol w:w="1479"/>
      </w:tblGrid>
      <w:tr w:rsidR="004173B4" w:rsidRPr="00C30A31" w:rsidTr="00DA625C">
        <w:trPr>
          <w:trHeight w:val="660"/>
        </w:trPr>
        <w:tc>
          <w:tcPr>
            <w:tcW w:w="1080" w:type="dxa"/>
            <w:shd w:val="clear" w:color="auto" w:fill="auto"/>
            <w:noWrap/>
            <w:vAlign w:val="center"/>
            <w:hideMark/>
          </w:tcPr>
          <w:bookmarkEnd w:id="0"/>
          <w:p w:rsidR="004173B4" w:rsidRPr="00FB1810" w:rsidRDefault="004173B4" w:rsidP="00DA625C">
            <w:pPr>
              <w:widowControl/>
              <w:jc w:val="center"/>
              <w:rPr>
                <w:rFonts w:ascii="黑体" w:eastAsia="黑体" w:hAnsi="黑体" w:cs="宋体"/>
                <w:b/>
                <w:bCs/>
                <w:kern w:val="0"/>
                <w:sz w:val="24"/>
                <w:szCs w:val="24"/>
              </w:rPr>
            </w:pPr>
            <w:r w:rsidRPr="00FB1810">
              <w:rPr>
                <w:rFonts w:ascii="黑体" w:eastAsia="黑体" w:hAnsi="黑体" w:cs="宋体" w:hint="eastAsia"/>
                <w:b/>
                <w:bCs/>
                <w:kern w:val="0"/>
                <w:sz w:val="24"/>
                <w:szCs w:val="24"/>
              </w:rPr>
              <w:t>序号</w:t>
            </w:r>
          </w:p>
        </w:tc>
        <w:tc>
          <w:tcPr>
            <w:tcW w:w="2660" w:type="dxa"/>
            <w:shd w:val="clear" w:color="auto" w:fill="auto"/>
            <w:noWrap/>
            <w:vAlign w:val="center"/>
            <w:hideMark/>
          </w:tcPr>
          <w:p w:rsidR="004173B4" w:rsidRPr="00FB1810" w:rsidRDefault="004173B4" w:rsidP="00DA625C">
            <w:pPr>
              <w:widowControl/>
              <w:jc w:val="center"/>
              <w:rPr>
                <w:rFonts w:ascii="黑体" w:eastAsia="黑体" w:hAnsi="黑体" w:cs="宋体"/>
                <w:b/>
                <w:bCs/>
                <w:kern w:val="0"/>
                <w:sz w:val="24"/>
                <w:szCs w:val="24"/>
              </w:rPr>
            </w:pPr>
            <w:r w:rsidRPr="00FB1810">
              <w:rPr>
                <w:rFonts w:ascii="黑体" w:eastAsia="黑体" w:hAnsi="黑体" w:cs="宋体" w:hint="eastAsia"/>
                <w:b/>
                <w:bCs/>
                <w:kern w:val="0"/>
                <w:sz w:val="24"/>
                <w:szCs w:val="24"/>
              </w:rPr>
              <w:t>轻微违法行为</w:t>
            </w:r>
          </w:p>
        </w:tc>
        <w:tc>
          <w:tcPr>
            <w:tcW w:w="3628" w:type="dxa"/>
            <w:vAlign w:val="center"/>
          </w:tcPr>
          <w:p w:rsidR="004173B4" w:rsidRPr="00FB1810" w:rsidRDefault="004173B4" w:rsidP="00DA625C">
            <w:pPr>
              <w:widowControl/>
              <w:jc w:val="center"/>
              <w:rPr>
                <w:rFonts w:ascii="黑体" w:eastAsia="黑体" w:hAnsi="黑体" w:cs="宋体"/>
                <w:b/>
                <w:bCs/>
                <w:kern w:val="0"/>
                <w:sz w:val="24"/>
                <w:szCs w:val="24"/>
              </w:rPr>
            </w:pPr>
            <w:r w:rsidRPr="00FB1810">
              <w:rPr>
                <w:rFonts w:ascii="黑体" w:eastAsia="黑体" w:hAnsi="黑体" w:cs="宋体" w:hint="eastAsia"/>
                <w:b/>
                <w:bCs/>
                <w:kern w:val="0"/>
                <w:sz w:val="24"/>
                <w:szCs w:val="24"/>
              </w:rPr>
              <w:t>适应</w:t>
            </w:r>
            <w:r w:rsidRPr="00FB1810">
              <w:rPr>
                <w:rFonts w:ascii="黑体" w:eastAsia="黑体" w:hAnsi="黑体" w:cs="宋体"/>
                <w:b/>
                <w:bCs/>
                <w:kern w:val="0"/>
                <w:sz w:val="24"/>
                <w:szCs w:val="24"/>
              </w:rPr>
              <w:t>情形</w:t>
            </w:r>
          </w:p>
        </w:tc>
        <w:tc>
          <w:tcPr>
            <w:tcW w:w="5101" w:type="dxa"/>
            <w:shd w:val="clear" w:color="auto" w:fill="auto"/>
            <w:noWrap/>
            <w:vAlign w:val="center"/>
            <w:hideMark/>
          </w:tcPr>
          <w:p w:rsidR="004173B4" w:rsidRPr="00FB1810" w:rsidRDefault="004173B4" w:rsidP="00DA625C">
            <w:pPr>
              <w:widowControl/>
              <w:jc w:val="center"/>
              <w:rPr>
                <w:rFonts w:ascii="黑体" w:eastAsia="黑体" w:hAnsi="黑体" w:cs="宋体"/>
                <w:b/>
                <w:bCs/>
                <w:kern w:val="0"/>
                <w:sz w:val="24"/>
                <w:szCs w:val="24"/>
              </w:rPr>
            </w:pPr>
            <w:r w:rsidRPr="00FB1810">
              <w:rPr>
                <w:rFonts w:ascii="黑体" w:eastAsia="黑体" w:hAnsi="黑体" w:cs="宋体" w:hint="eastAsia"/>
                <w:b/>
                <w:bCs/>
                <w:kern w:val="0"/>
                <w:sz w:val="24"/>
                <w:szCs w:val="24"/>
              </w:rPr>
              <w:t>法律依据</w:t>
            </w:r>
          </w:p>
        </w:tc>
        <w:tc>
          <w:tcPr>
            <w:tcW w:w="1479" w:type="dxa"/>
            <w:shd w:val="clear" w:color="auto" w:fill="auto"/>
            <w:noWrap/>
            <w:vAlign w:val="center"/>
            <w:hideMark/>
          </w:tcPr>
          <w:p w:rsidR="004173B4" w:rsidRPr="00FB1810" w:rsidRDefault="004173B4" w:rsidP="00DA625C">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备注</w:t>
            </w:r>
          </w:p>
        </w:tc>
      </w:tr>
      <w:tr w:rsidR="004173B4" w:rsidRPr="00C30A31" w:rsidTr="00DA625C">
        <w:trPr>
          <w:trHeight w:val="2235"/>
        </w:trPr>
        <w:tc>
          <w:tcPr>
            <w:tcW w:w="1080" w:type="dxa"/>
            <w:shd w:val="clear" w:color="auto" w:fill="auto"/>
            <w:noWrap/>
            <w:vAlign w:val="center"/>
            <w:hideMark/>
          </w:tcPr>
          <w:p w:rsidR="004173B4" w:rsidRPr="00B813B3" w:rsidRDefault="004173B4" w:rsidP="00DA625C">
            <w:pPr>
              <w:widowControl/>
              <w:jc w:val="center"/>
              <w:rPr>
                <w:rFonts w:ascii="仿宋_GB2312" w:eastAsia="仿宋_GB2312" w:hAnsi="宋体" w:cs="宋体"/>
                <w:kern w:val="0"/>
                <w:szCs w:val="21"/>
              </w:rPr>
            </w:pPr>
            <w:r w:rsidRPr="00B813B3">
              <w:rPr>
                <w:rFonts w:ascii="仿宋_GB2312" w:eastAsia="仿宋_GB2312" w:hAnsi="宋体" w:cs="宋体" w:hint="eastAsia"/>
                <w:kern w:val="0"/>
                <w:szCs w:val="21"/>
              </w:rPr>
              <w:t>1</w:t>
            </w:r>
          </w:p>
        </w:tc>
        <w:tc>
          <w:tcPr>
            <w:tcW w:w="2660"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医疗卫生机构未建立、健全医疗废物管理制度，或者未设置监控部门或者专（兼）职人员的</w:t>
            </w:r>
          </w:p>
        </w:tc>
        <w:tc>
          <w:tcPr>
            <w:tcW w:w="3628"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违法行为轻微并及时改正，没有造成危害后果的，或首次违法且违法后果轻微并及时改正的。</w:t>
            </w:r>
          </w:p>
        </w:tc>
        <w:tc>
          <w:tcPr>
            <w:tcW w:w="5101"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《医疗废物管理条例》第四十五条第（一）项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tc>
        <w:tc>
          <w:tcPr>
            <w:tcW w:w="1479"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 xml:space="preserve">　</w:t>
            </w:r>
          </w:p>
        </w:tc>
      </w:tr>
      <w:tr w:rsidR="004173B4" w:rsidRPr="00C30A31" w:rsidTr="00DA625C">
        <w:trPr>
          <w:trHeight w:val="2190"/>
        </w:trPr>
        <w:tc>
          <w:tcPr>
            <w:tcW w:w="1080" w:type="dxa"/>
            <w:shd w:val="clear" w:color="auto" w:fill="auto"/>
            <w:noWrap/>
            <w:vAlign w:val="center"/>
            <w:hideMark/>
          </w:tcPr>
          <w:p w:rsidR="004173B4" w:rsidRPr="00B813B3" w:rsidRDefault="004173B4" w:rsidP="00DA625C">
            <w:pPr>
              <w:widowControl/>
              <w:jc w:val="center"/>
              <w:rPr>
                <w:rFonts w:ascii="仿宋_GB2312" w:eastAsia="仿宋_GB2312" w:hAnsi="宋体" w:cs="宋体"/>
                <w:kern w:val="0"/>
                <w:szCs w:val="21"/>
              </w:rPr>
            </w:pPr>
            <w:r w:rsidRPr="00B813B3">
              <w:rPr>
                <w:rFonts w:ascii="仿宋_GB2312" w:eastAsia="仿宋_GB2312" w:hAnsi="宋体" w:cs="宋体" w:hint="eastAsia"/>
                <w:kern w:val="0"/>
                <w:szCs w:val="21"/>
              </w:rPr>
              <w:t>2</w:t>
            </w:r>
          </w:p>
        </w:tc>
        <w:tc>
          <w:tcPr>
            <w:tcW w:w="2660" w:type="dxa"/>
            <w:shd w:val="clear" w:color="auto" w:fill="auto"/>
            <w:vAlign w:val="center"/>
            <w:hideMark/>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未依照规定制定实验室感染应急处置预案并备案的</w:t>
            </w:r>
          </w:p>
        </w:tc>
        <w:tc>
          <w:tcPr>
            <w:tcW w:w="3628" w:type="dxa"/>
            <w:vAlign w:val="center"/>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违法行为轻微并及时改正，没有造成危害后果的，或首次违法且违法后果轻微并及时改正的。且已制定实验室感染应急处置预案，但未备案且不超过一个月的。</w:t>
            </w:r>
          </w:p>
        </w:tc>
        <w:tc>
          <w:tcPr>
            <w:tcW w:w="5101" w:type="dxa"/>
            <w:shd w:val="clear" w:color="auto" w:fill="auto"/>
            <w:vAlign w:val="center"/>
            <w:hideMark/>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《病原微生物实验室生物安全管理条例》 第六十条第（八）项　实验室有下列行为之一的，由县级以上地方人民政府卫生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79" w:type="dxa"/>
            <w:shd w:val="clear" w:color="auto" w:fill="auto"/>
            <w:vAlign w:val="center"/>
            <w:hideMark/>
          </w:tcPr>
          <w:p w:rsidR="004173B4" w:rsidRPr="00B813B3" w:rsidRDefault="004173B4" w:rsidP="00DA625C">
            <w:pPr>
              <w:widowControl/>
              <w:jc w:val="left"/>
              <w:rPr>
                <w:rFonts w:ascii="仿宋_GB2312" w:eastAsia="仿宋_GB2312" w:hAnsi="宋体" w:cs="宋体"/>
                <w:kern w:val="0"/>
                <w:szCs w:val="21"/>
              </w:rPr>
            </w:pPr>
          </w:p>
        </w:tc>
      </w:tr>
      <w:tr w:rsidR="004173B4" w:rsidRPr="00C30A31" w:rsidTr="00DA625C">
        <w:trPr>
          <w:trHeight w:val="3393"/>
        </w:trPr>
        <w:tc>
          <w:tcPr>
            <w:tcW w:w="1080" w:type="dxa"/>
            <w:shd w:val="clear" w:color="auto" w:fill="auto"/>
            <w:noWrap/>
            <w:vAlign w:val="center"/>
            <w:hideMark/>
          </w:tcPr>
          <w:p w:rsidR="004173B4" w:rsidRPr="00B813B3" w:rsidRDefault="004173B4" w:rsidP="00DA625C">
            <w:pPr>
              <w:widowControl/>
              <w:jc w:val="center"/>
              <w:rPr>
                <w:rFonts w:ascii="仿宋_GB2312" w:eastAsia="仿宋_GB2312" w:hAnsi="宋体" w:cs="宋体"/>
                <w:kern w:val="0"/>
                <w:szCs w:val="21"/>
              </w:rPr>
            </w:pPr>
            <w:r w:rsidRPr="00B813B3">
              <w:rPr>
                <w:rFonts w:ascii="仿宋_GB2312" w:eastAsia="仿宋_GB2312" w:hAnsi="宋体" w:cs="宋体" w:hint="eastAsia"/>
                <w:kern w:val="0"/>
                <w:szCs w:val="21"/>
              </w:rPr>
              <w:lastRenderedPageBreak/>
              <w:t>3</w:t>
            </w:r>
          </w:p>
        </w:tc>
        <w:tc>
          <w:tcPr>
            <w:tcW w:w="2660" w:type="dxa"/>
            <w:shd w:val="clear" w:color="auto" w:fill="auto"/>
            <w:vAlign w:val="center"/>
            <w:hideMark/>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实验室未依照规定在明显位置标示国务院卫生主管部门规定的生物危险标识和生物安全实验室级别标志的</w:t>
            </w:r>
          </w:p>
        </w:tc>
        <w:tc>
          <w:tcPr>
            <w:tcW w:w="3628" w:type="dxa"/>
            <w:vAlign w:val="center"/>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违法行为轻微并及时改正，没有造成危害后果的，或首次违法且违法后果轻微并及时改正的。</w:t>
            </w:r>
            <w:r w:rsidRPr="00B813B3">
              <w:rPr>
                <w:rFonts w:ascii="仿宋_GB2312" w:eastAsia="仿宋_GB2312" w:hAnsi="宋体" w:cs="宋体" w:hint="eastAsia"/>
                <w:color w:val="333333"/>
                <w:kern w:val="0"/>
                <w:szCs w:val="21"/>
              </w:rPr>
              <w:t>且实验室开展工作一个月内未标示级别标志的。</w:t>
            </w:r>
          </w:p>
        </w:tc>
        <w:tc>
          <w:tcPr>
            <w:tcW w:w="5101" w:type="dxa"/>
            <w:shd w:val="clear" w:color="auto" w:fill="auto"/>
            <w:vAlign w:val="center"/>
            <w:hideMark/>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《病原微生物实验室生物安全管理条例》 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79" w:type="dxa"/>
            <w:shd w:val="clear" w:color="auto" w:fill="auto"/>
            <w:vAlign w:val="center"/>
            <w:hideMark/>
          </w:tcPr>
          <w:p w:rsidR="004173B4" w:rsidRPr="00B813B3" w:rsidRDefault="004173B4" w:rsidP="00DA625C">
            <w:pPr>
              <w:widowControl/>
              <w:jc w:val="left"/>
              <w:rPr>
                <w:rFonts w:ascii="仿宋_GB2312" w:eastAsia="仿宋_GB2312" w:hAnsi="宋体" w:cs="宋体"/>
                <w:color w:val="333333"/>
                <w:kern w:val="0"/>
                <w:szCs w:val="21"/>
              </w:rPr>
            </w:pPr>
          </w:p>
        </w:tc>
      </w:tr>
      <w:tr w:rsidR="004173B4" w:rsidRPr="00C30A31" w:rsidTr="00DA625C">
        <w:trPr>
          <w:trHeight w:val="2160"/>
        </w:trPr>
        <w:tc>
          <w:tcPr>
            <w:tcW w:w="1080" w:type="dxa"/>
            <w:shd w:val="clear" w:color="auto" w:fill="auto"/>
            <w:noWrap/>
            <w:vAlign w:val="center"/>
            <w:hideMark/>
          </w:tcPr>
          <w:p w:rsidR="004173B4" w:rsidRPr="00B813B3" w:rsidRDefault="004173B4" w:rsidP="00DA625C">
            <w:pPr>
              <w:widowControl/>
              <w:jc w:val="center"/>
              <w:rPr>
                <w:rFonts w:ascii="仿宋_GB2312" w:eastAsia="仿宋_GB2312" w:hAnsi="宋体" w:cs="宋体"/>
                <w:kern w:val="0"/>
                <w:szCs w:val="21"/>
              </w:rPr>
            </w:pPr>
            <w:r w:rsidRPr="00B813B3">
              <w:rPr>
                <w:rFonts w:ascii="仿宋_GB2312" w:eastAsia="仿宋_GB2312" w:hAnsi="宋体" w:cs="宋体" w:hint="eastAsia"/>
                <w:kern w:val="0"/>
                <w:szCs w:val="21"/>
              </w:rPr>
              <w:t>4</w:t>
            </w:r>
          </w:p>
        </w:tc>
        <w:tc>
          <w:tcPr>
            <w:tcW w:w="2660"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公共场所经营者未按照规定对公共场所的空气、微小气候、水质、采光、照明、噪声、顾客用品用具等进行卫生检测的</w:t>
            </w:r>
          </w:p>
        </w:tc>
        <w:tc>
          <w:tcPr>
            <w:tcW w:w="3628"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违法行为轻微并及时改正，没有造成危害后果的，或首次违法且违法后果轻微并及时改正的。且超过检测周期一个月内。</w:t>
            </w:r>
          </w:p>
        </w:tc>
        <w:tc>
          <w:tcPr>
            <w:tcW w:w="5101"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《公共场所卫生管理条例实施细则》第三十六条 公共场所经营者有下列情形之一的，由县级以上地方人民政府卫生行政部门责令限期改正，给予警告，并可处以两千元以下罚款；逾期不改正，造成公共场所卫生质量不符合卫生标准和要求的，处以两千元以上两万元以下罚款；情节严重的，可以依法责令停业整顿，直至吊销卫生许可证。(一)未按照规定对公共场所的空气、微小气候、水质、采光、照明、噪声、顾客用品用具等进行卫生检测的;</w:t>
            </w:r>
          </w:p>
        </w:tc>
        <w:tc>
          <w:tcPr>
            <w:tcW w:w="1479" w:type="dxa"/>
            <w:shd w:val="clear" w:color="auto" w:fill="auto"/>
            <w:noWrap/>
            <w:vAlign w:val="center"/>
            <w:hideMark/>
          </w:tcPr>
          <w:p w:rsidR="004173B4" w:rsidRPr="00B813B3" w:rsidRDefault="004173B4" w:rsidP="00DA625C">
            <w:pPr>
              <w:widowControl/>
              <w:jc w:val="left"/>
              <w:rPr>
                <w:rFonts w:ascii="仿宋_GB2312" w:eastAsia="仿宋_GB2312" w:hAnsi="宋体" w:cs="宋体"/>
                <w:kern w:val="0"/>
                <w:szCs w:val="21"/>
              </w:rPr>
            </w:pPr>
            <w:r w:rsidRPr="00B813B3">
              <w:rPr>
                <w:rFonts w:ascii="仿宋_GB2312" w:eastAsia="仿宋_GB2312" w:hAnsi="宋体" w:cs="宋体" w:hint="eastAsia"/>
                <w:kern w:val="0"/>
                <w:szCs w:val="21"/>
              </w:rPr>
              <w:t xml:space="preserve">　</w:t>
            </w:r>
          </w:p>
        </w:tc>
      </w:tr>
      <w:tr w:rsidR="004173B4" w:rsidRPr="00C30A31" w:rsidTr="00DA625C">
        <w:trPr>
          <w:trHeight w:val="4560"/>
        </w:trPr>
        <w:tc>
          <w:tcPr>
            <w:tcW w:w="1080" w:type="dxa"/>
            <w:shd w:val="clear" w:color="auto" w:fill="auto"/>
            <w:noWrap/>
            <w:vAlign w:val="center"/>
            <w:hideMark/>
          </w:tcPr>
          <w:p w:rsidR="004173B4" w:rsidRPr="00FB1810" w:rsidRDefault="004173B4" w:rsidP="00DA625C">
            <w:pPr>
              <w:widowControl/>
              <w:jc w:val="center"/>
              <w:rPr>
                <w:rFonts w:ascii="仿宋_GB2312" w:eastAsia="仿宋_GB2312" w:hAnsi="宋体" w:cs="宋体"/>
                <w:kern w:val="0"/>
                <w:sz w:val="28"/>
                <w:szCs w:val="28"/>
              </w:rPr>
            </w:pPr>
            <w:r w:rsidRPr="00FB1810">
              <w:rPr>
                <w:rFonts w:ascii="仿宋_GB2312" w:eastAsia="仿宋_GB2312" w:hAnsi="宋体" w:cs="宋体" w:hint="eastAsia"/>
                <w:kern w:val="0"/>
                <w:sz w:val="28"/>
                <w:szCs w:val="28"/>
              </w:rPr>
              <w:t>5</w:t>
            </w:r>
          </w:p>
        </w:tc>
        <w:tc>
          <w:tcPr>
            <w:tcW w:w="2660"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公共场所经营者安排未获得有效健康合格证明的从业人员从事直接为顾客服务工作的</w:t>
            </w:r>
          </w:p>
        </w:tc>
        <w:tc>
          <w:tcPr>
            <w:tcW w:w="3628"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违法行为轻微并及时改正，没有造成危害后果的，或首次违法且违法后果轻微并及时改正的。且持有健康合格证明，但有超出效期不超过7天，人数不超过3人的。</w:t>
            </w:r>
          </w:p>
        </w:tc>
        <w:tc>
          <w:tcPr>
            <w:tcW w:w="5101" w:type="dxa"/>
            <w:shd w:val="clear" w:color="000000" w:fill="FFFFFF"/>
            <w:vAlign w:val="center"/>
            <w:hideMark/>
          </w:tcPr>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《公共场所卫生管理条例》第十四条第一款第（二）项 凡有下列行为之一的单位或者个人，卫生防疫机构以根据情节轻重，给予警告、罚款、停业整顿、吊销"卫生许可证"的行政处罚：（二）未获得"健康合格证"，而从事直接为顾客服务的；</w:t>
            </w:r>
          </w:p>
          <w:p w:rsidR="004173B4"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rsidR="004173B4" w:rsidRPr="00B813B3" w:rsidRDefault="004173B4" w:rsidP="00DA625C">
            <w:pPr>
              <w:widowControl/>
              <w:jc w:val="left"/>
              <w:rPr>
                <w:rFonts w:ascii="仿宋_GB2312" w:eastAsia="仿宋_GB2312" w:hAnsi="宋体" w:cs="宋体"/>
                <w:color w:val="333333"/>
                <w:kern w:val="0"/>
                <w:szCs w:val="21"/>
              </w:rPr>
            </w:pPr>
            <w:r w:rsidRPr="00B813B3">
              <w:rPr>
                <w:rFonts w:ascii="仿宋_GB2312" w:eastAsia="仿宋_GB2312" w:hAnsi="宋体" w:cs="宋体" w:hint="eastAsia"/>
                <w:color w:val="333333"/>
                <w:kern w:val="0"/>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79" w:type="dxa"/>
            <w:shd w:val="clear" w:color="auto" w:fill="auto"/>
            <w:noWrap/>
            <w:vAlign w:val="center"/>
            <w:hideMark/>
          </w:tcPr>
          <w:p w:rsidR="004173B4" w:rsidRPr="00FB1810" w:rsidRDefault="004173B4" w:rsidP="00DA625C">
            <w:pPr>
              <w:widowControl/>
              <w:jc w:val="left"/>
              <w:rPr>
                <w:rFonts w:ascii="仿宋_GB2312" w:eastAsia="仿宋_GB2312" w:hAnsi="宋体" w:cs="宋体"/>
                <w:kern w:val="0"/>
                <w:sz w:val="28"/>
                <w:szCs w:val="28"/>
              </w:rPr>
            </w:pPr>
            <w:r w:rsidRPr="00FB1810">
              <w:rPr>
                <w:rFonts w:ascii="仿宋_GB2312" w:eastAsia="仿宋_GB2312" w:hAnsi="宋体" w:cs="宋体" w:hint="eastAsia"/>
                <w:kern w:val="0"/>
                <w:sz w:val="28"/>
                <w:szCs w:val="28"/>
              </w:rPr>
              <w:t xml:space="preserve">　</w:t>
            </w:r>
          </w:p>
        </w:tc>
      </w:tr>
      <w:tr w:rsidR="004173B4" w:rsidRPr="00C30A31" w:rsidTr="00DA625C">
        <w:trPr>
          <w:trHeight w:val="4560"/>
        </w:trPr>
        <w:tc>
          <w:tcPr>
            <w:tcW w:w="1080" w:type="dxa"/>
            <w:shd w:val="clear" w:color="auto" w:fill="auto"/>
            <w:noWrap/>
            <w:vAlign w:val="center"/>
          </w:tcPr>
          <w:p w:rsidR="004173B4" w:rsidRPr="00FB1810" w:rsidRDefault="004173B4" w:rsidP="00DA625C">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2660"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未按照规定</w:t>
            </w:r>
            <w:r w:rsidRPr="00B813B3">
              <w:rPr>
                <w:rFonts w:ascii="仿宋_GB2312" w:eastAsia="仿宋_GB2312" w:hAnsi="宋体" w:cs="宋体" w:hint="eastAsia"/>
                <w:color w:val="333333"/>
                <w:kern w:val="0"/>
                <w:szCs w:val="21"/>
              </w:rPr>
              <w:t>校验</w:t>
            </w:r>
            <w:r>
              <w:rPr>
                <w:rFonts w:ascii="仿宋_GB2312" w:eastAsia="仿宋_GB2312" w:hAnsi="宋体" w:cs="宋体" w:hint="eastAsia"/>
                <w:color w:val="333333"/>
                <w:kern w:val="0"/>
                <w:szCs w:val="21"/>
              </w:rPr>
              <w:t>《放射</w:t>
            </w:r>
            <w:r>
              <w:rPr>
                <w:rFonts w:ascii="仿宋_GB2312" w:eastAsia="仿宋_GB2312" w:hAnsi="宋体" w:cs="宋体"/>
                <w:color w:val="333333"/>
                <w:kern w:val="0"/>
                <w:szCs w:val="21"/>
              </w:rPr>
              <w:t>诊疗许可证</w:t>
            </w:r>
            <w:r>
              <w:rPr>
                <w:rFonts w:ascii="仿宋_GB2312" w:eastAsia="仿宋_GB2312" w:hAnsi="宋体" w:cs="宋体" w:hint="eastAsia"/>
                <w:color w:val="333333"/>
                <w:kern w:val="0"/>
                <w:szCs w:val="21"/>
              </w:rPr>
              <w:t>》</w:t>
            </w:r>
            <w:r w:rsidRPr="00B813B3">
              <w:rPr>
                <w:rFonts w:ascii="仿宋_GB2312" w:eastAsia="仿宋_GB2312" w:hAnsi="宋体" w:cs="宋体" w:hint="eastAsia"/>
                <w:color w:val="333333"/>
                <w:kern w:val="0"/>
                <w:szCs w:val="21"/>
              </w:rPr>
              <w:t>的</w:t>
            </w:r>
          </w:p>
        </w:tc>
        <w:tc>
          <w:tcPr>
            <w:tcW w:w="3628"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sidRPr="00B9403D">
              <w:rPr>
                <w:rFonts w:ascii="仿宋_GB2312" w:eastAsia="仿宋_GB2312" w:hAnsi="宋体" w:cs="宋体" w:hint="eastAsia"/>
                <w:color w:val="333333"/>
                <w:kern w:val="0"/>
                <w:szCs w:val="21"/>
              </w:rPr>
              <w:t>违法行为轻微并及时改正，没有造成危害后果的，或首次违法且违法后果轻微并及时改正的。且超过校验期</w:t>
            </w:r>
            <w:r>
              <w:rPr>
                <w:rFonts w:ascii="仿宋_GB2312" w:eastAsia="仿宋_GB2312" w:hAnsi="宋体" w:cs="宋体" w:hint="eastAsia"/>
                <w:color w:val="333333"/>
                <w:kern w:val="0"/>
                <w:szCs w:val="21"/>
              </w:rPr>
              <w:t>2</w:t>
            </w:r>
            <w:r>
              <w:rPr>
                <w:rFonts w:ascii="仿宋_GB2312" w:eastAsia="仿宋_GB2312" w:hAnsi="宋体" w:cs="宋体"/>
                <w:color w:val="333333"/>
                <w:kern w:val="0"/>
                <w:szCs w:val="21"/>
              </w:rPr>
              <w:t>0</w:t>
            </w:r>
            <w:r>
              <w:rPr>
                <w:rFonts w:ascii="仿宋_GB2312" w:eastAsia="仿宋_GB2312" w:hAnsi="宋体" w:cs="宋体" w:hint="eastAsia"/>
                <w:color w:val="333333"/>
                <w:kern w:val="0"/>
                <w:szCs w:val="21"/>
              </w:rPr>
              <w:t>日</w:t>
            </w:r>
            <w:r w:rsidRPr="00B9403D">
              <w:rPr>
                <w:rFonts w:ascii="仿宋_GB2312" w:eastAsia="仿宋_GB2312" w:hAnsi="宋体" w:cs="宋体" w:hint="eastAsia"/>
                <w:color w:val="333333"/>
                <w:kern w:val="0"/>
                <w:szCs w:val="21"/>
              </w:rPr>
              <w:t>内的。</w:t>
            </w:r>
          </w:p>
        </w:tc>
        <w:tc>
          <w:tcPr>
            <w:tcW w:w="5101" w:type="dxa"/>
            <w:shd w:val="clear" w:color="000000" w:fill="FFFFFF"/>
            <w:vAlign w:val="center"/>
          </w:tcPr>
          <w:p w:rsidR="004173B4" w:rsidRPr="00B813B3" w:rsidRDefault="004173B4" w:rsidP="00DA625C">
            <w:pPr>
              <w:widowControl/>
              <w:jc w:val="left"/>
              <w:rPr>
                <w:rFonts w:ascii="仿宋_GB2312" w:eastAsia="仿宋_GB2312" w:hAnsi="宋体" w:cs="宋体"/>
                <w:color w:val="333333"/>
                <w:kern w:val="0"/>
                <w:szCs w:val="21"/>
              </w:rPr>
            </w:pPr>
            <w:r w:rsidRPr="00B9403D">
              <w:rPr>
                <w:rFonts w:ascii="仿宋_GB2312" w:eastAsia="仿宋_GB2312" w:hAnsi="宋体" w:cs="宋体" w:hint="eastAsia"/>
                <w:color w:val="333333"/>
                <w:kern w:val="0"/>
                <w:szCs w:val="21"/>
              </w:rPr>
              <w:t>《放射诊疗管理规定》第三十八条第（二）项　医疗机构有下列情形之一的，由县级以上卫生行政部门给予警告、责令限期改正，并可以根据情节处以</w:t>
            </w:r>
            <w:r w:rsidRPr="00B9403D">
              <w:rPr>
                <w:rFonts w:ascii="仿宋_GB2312" w:eastAsia="仿宋_GB2312" w:hAnsi="宋体" w:cs="宋体"/>
                <w:color w:val="333333"/>
                <w:kern w:val="0"/>
                <w:szCs w:val="21"/>
              </w:rPr>
              <w:t>3000元以下的罚款；情节严重的，吊销其《医疗机构执业许可证》。（二）未办理诊疗科目登记或者未按照规定进行校验的。</w:t>
            </w:r>
          </w:p>
        </w:tc>
        <w:tc>
          <w:tcPr>
            <w:tcW w:w="1479" w:type="dxa"/>
            <w:shd w:val="clear" w:color="auto" w:fill="auto"/>
            <w:noWrap/>
            <w:vAlign w:val="center"/>
          </w:tcPr>
          <w:p w:rsidR="004173B4" w:rsidRPr="00FB1810" w:rsidRDefault="004173B4" w:rsidP="00DA625C">
            <w:pPr>
              <w:widowControl/>
              <w:jc w:val="left"/>
              <w:rPr>
                <w:rFonts w:ascii="仿宋_GB2312" w:eastAsia="仿宋_GB2312" w:hAnsi="宋体" w:cs="宋体"/>
                <w:kern w:val="0"/>
                <w:sz w:val="28"/>
                <w:szCs w:val="28"/>
              </w:rPr>
            </w:pPr>
          </w:p>
        </w:tc>
      </w:tr>
    </w:tbl>
    <w:p w:rsidR="004173B4" w:rsidRPr="00256BD6" w:rsidRDefault="004173B4" w:rsidP="004173B4">
      <w:pPr>
        <w:ind w:right="320"/>
        <w:rPr>
          <w:rFonts w:ascii="方正小标宋简体" w:eastAsia="方正小标宋简体"/>
          <w:sz w:val="44"/>
          <w:szCs w:val="44"/>
        </w:rPr>
      </w:pPr>
    </w:p>
    <w:p w:rsidR="00F40430" w:rsidRPr="004173B4" w:rsidRDefault="00F40430"/>
    <w:sectPr w:rsidR="00F40430" w:rsidRPr="004173B4" w:rsidSect="00256BD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CF" w:rsidRDefault="009436CF" w:rsidP="004173B4">
      <w:r>
        <w:separator/>
      </w:r>
    </w:p>
  </w:endnote>
  <w:endnote w:type="continuationSeparator" w:id="0">
    <w:p w:rsidR="009436CF" w:rsidRDefault="009436CF" w:rsidP="0041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CF" w:rsidRDefault="009436CF" w:rsidP="004173B4">
      <w:r>
        <w:separator/>
      </w:r>
    </w:p>
  </w:footnote>
  <w:footnote w:type="continuationSeparator" w:id="0">
    <w:p w:rsidR="009436CF" w:rsidRDefault="009436CF" w:rsidP="0041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9B"/>
    <w:rsid w:val="004173B4"/>
    <w:rsid w:val="00843E9B"/>
    <w:rsid w:val="009436CF"/>
    <w:rsid w:val="00F4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C092A-269B-4C5D-90C5-88B9F58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3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73B4"/>
    <w:rPr>
      <w:sz w:val="18"/>
      <w:szCs w:val="18"/>
    </w:rPr>
  </w:style>
  <w:style w:type="paragraph" w:styleId="a5">
    <w:name w:val="footer"/>
    <w:basedOn w:val="a"/>
    <w:link w:val="a6"/>
    <w:uiPriority w:val="99"/>
    <w:unhideWhenUsed/>
    <w:rsid w:val="004173B4"/>
    <w:pPr>
      <w:tabs>
        <w:tab w:val="center" w:pos="4153"/>
        <w:tab w:val="right" w:pos="8306"/>
      </w:tabs>
      <w:snapToGrid w:val="0"/>
      <w:jc w:val="left"/>
    </w:pPr>
    <w:rPr>
      <w:sz w:val="18"/>
      <w:szCs w:val="18"/>
    </w:rPr>
  </w:style>
  <w:style w:type="character" w:customStyle="1" w:styleId="a6">
    <w:name w:val="页脚 字符"/>
    <w:basedOn w:val="a0"/>
    <w:link w:val="a5"/>
    <w:uiPriority w:val="99"/>
    <w:rsid w:val="004173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996</Characters>
  <Application>Microsoft Office Word</Application>
  <DocSecurity>0</DocSecurity>
  <Lines>49</Lines>
  <Paragraphs>20</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2</cp:revision>
  <dcterms:created xsi:type="dcterms:W3CDTF">2021-12-01T09:02:00Z</dcterms:created>
  <dcterms:modified xsi:type="dcterms:W3CDTF">2021-12-01T09:02:00Z</dcterms:modified>
</cp:coreProperties>
</file>