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9183E">
      <w:pPr>
        <w:pStyle w:val="2"/>
        <w:rPr>
          <w:rFonts w:hint="default"/>
          <w:lang w:val="en-US" w:eastAsia="zh-CN"/>
        </w:rPr>
      </w:pPr>
      <w:bookmarkStart w:id="0" w:name="_GoBack"/>
      <w:bookmarkEnd w:id="0"/>
      <w:r>
        <w:rPr>
          <w:rFonts w:hint="eastAsia" w:ascii="仿宋_GB2312" w:hAnsi="仿宋_GB2312" w:cs="仿宋_GB2312"/>
          <w:sz w:val="28"/>
          <w:szCs w:val="28"/>
          <w:lang w:val="en-US" w:eastAsia="zh-CN"/>
        </w:rPr>
        <w:t xml:space="preserve"> </w:t>
      </w:r>
      <w:r>
        <w:rPr>
          <w:rFonts w:hint="eastAsia" w:ascii="黑体" w:hAnsi="黑体" w:eastAsia="黑体" w:cs="黑体"/>
          <w:sz w:val="32"/>
          <w:szCs w:val="32"/>
          <w:lang w:val="en-US" w:eastAsia="zh-CN"/>
        </w:rPr>
        <w:t>附件1</w:t>
      </w:r>
    </w:p>
    <w:p w14:paraId="2CB03410">
      <w:pPr>
        <w:pStyle w:val="2"/>
        <w:rPr>
          <w:rFonts w:hint="eastAsia" w:ascii="黑体" w:hAnsi="黑体" w:eastAsia="黑体"/>
          <w:sz w:val="32"/>
          <w:szCs w:val="32"/>
          <w:lang w:val="en-US" w:eastAsia="zh-CN"/>
        </w:rPr>
      </w:pPr>
    </w:p>
    <w:p w14:paraId="6C41451D">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宋体-GB2312" w:hAnsi="CESI宋体-GB2312" w:eastAsia="CESI宋体-GB2312" w:cs="CESI宋体-GB2312"/>
          <w:b/>
          <w:bCs/>
          <w:sz w:val="44"/>
          <w:szCs w:val="44"/>
          <w:lang w:val="en-US" w:eastAsia="zh-CN"/>
        </w:rPr>
      </w:pPr>
      <w:r>
        <w:rPr>
          <w:rFonts w:hint="eastAsia" w:ascii="CESI宋体-GB2312" w:hAnsi="CESI宋体-GB2312" w:eastAsia="CESI宋体-GB2312" w:cs="CESI宋体-GB2312"/>
          <w:b/>
          <w:bCs/>
          <w:sz w:val="44"/>
          <w:szCs w:val="44"/>
          <w:lang w:val="en-US" w:eastAsia="zh-CN"/>
        </w:rPr>
        <w:t>2025年卫生系列高级职称评审工作</w:t>
      </w:r>
    </w:p>
    <w:p w14:paraId="45290357">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宋体-GB2312" w:hAnsi="CESI宋体-GB2312" w:eastAsia="CESI宋体-GB2312" w:cs="CESI宋体-GB2312"/>
          <w:b/>
          <w:bCs/>
          <w:sz w:val="44"/>
          <w:szCs w:val="44"/>
          <w:lang w:val="en-US" w:eastAsia="zh-CN"/>
        </w:rPr>
      </w:pPr>
      <w:r>
        <w:rPr>
          <w:rFonts w:hint="eastAsia" w:ascii="CESI宋体-GB2312" w:hAnsi="CESI宋体-GB2312" w:eastAsia="CESI宋体-GB2312" w:cs="CESI宋体-GB2312"/>
          <w:b/>
          <w:bCs/>
          <w:sz w:val="44"/>
          <w:szCs w:val="44"/>
          <w:lang w:val="en-US" w:eastAsia="zh-CN"/>
        </w:rPr>
        <w:t>有关事项业务口径</w:t>
      </w:r>
    </w:p>
    <w:p w14:paraId="479B95BC">
      <w:pPr>
        <w:pStyle w:val="5"/>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630" w:leftChars="0" w:right="0" w:rightChars="0"/>
        <w:jc w:val="both"/>
        <w:textAlignment w:val="auto"/>
        <w:rPr>
          <w:rFonts w:hint="eastAsia" w:ascii="国标黑体" w:hAnsi="国标黑体" w:eastAsia="国标黑体" w:cs="国标黑体"/>
          <w:b w:val="0"/>
          <w:bCs/>
          <w:sz w:val="32"/>
          <w:szCs w:val="32"/>
        </w:rPr>
      </w:pPr>
    </w:p>
    <w:p w14:paraId="4AE18520">
      <w:pPr>
        <w:pStyle w:val="5"/>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10" w:leftChars="0" w:firstLine="640" w:firstLineChars="0"/>
        <w:jc w:val="both"/>
        <w:textAlignment w:val="auto"/>
        <w:rPr>
          <w:rFonts w:hint="eastAsia" w:ascii="国标黑体" w:hAnsi="国标黑体" w:eastAsia="国标黑体" w:cs="国标黑体"/>
          <w:b w:val="0"/>
          <w:bCs/>
          <w:sz w:val="32"/>
          <w:szCs w:val="32"/>
        </w:rPr>
      </w:pPr>
      <w:r>
        <w:rPr>
          <w:rFonts w:hint="eastAsia" w:ascii="国标黑体" w:hAnsi="国标黑体" w:eastAsia="国标黑体" w:cs="国标黑体"/>
          <w:b w:val="0"/>
          <w:bCs/>
          <w:sz w:val="32"/>
          <w:szCs w:val="32"/>
          <w:lang w:eastAsia="zh-CN"/>
        </w:rPr>
        <w:t>关于不同类型申报人员申报渠道</w:t>
      </w:r>
    </w:p>
    <w:p w14:paraId="2622E95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根据省委办公厅、省政府办公厅印发《关于全面深化职称制度改革实施意见》(甘办发〔</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sz w:val="32"/>
          <w:szCs w:val="32"/>
        </w:rPr>
        <w:t>号)有关要求，积极畅通专业技术人员职称申报渠道。</w:t>
      </w:r>
    </w:p>
    <w:p w14:paraId="6E107EB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省内事业单位在编在岗人员，在公有制经济企业工作并与企业签订劳动合同、由企业缴纳企业职工养老保险的人员，在本单位申报</w:t>
      </w:r>
      <w:r>
        <w:rPr>
          <w:rFonts w:hint="eastAsia" w:ascii="仿宋_GB2312" w:hAnsi="仿宋_GB2312" w:eastAsia="仿宋_GB2312" w:cs="仿宋_GB2312"/>
          <w:sz w:val="32"/>
          <w:szCs w:val="32"/>
          <w:lang w:eastAsia="zh-CN"/>
        </w:rPr>
        <w:t>；</w:t>
      </w:r>
    </w:p>
    <w:p w14:paraId="6FE3671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2.非公有制经济企业( 含私营企业、外资企业、股份制企业)人员，与企业签订劳动合同且由企业缴纳企业职工养老保险的，在本企业申报。</w:t>
      </w:r>
    </w:p>
    <w:p w14:paraId="15E4396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3.与事业单位签订聘用合同的编外聘用人员、与企业签订劳动合同的临聘人员，在劳动关系所在单位、或人事档案所在地的人力资源服务机构申报。</w:t>
      </w:r>
    </w:p>
    <w:p w14:paraId="75C7FC6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4.灵活就业人员以及新业态从业人员在缴纳企业职工养老保险的人事代理机构等申报职称。</w:t>
      </w:r>
    </w:p>
    <w:p w14:paraId="54E5691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5.不在上述范围的企事业单位其他人员，社会组织(机构)人员等，可以按照“就近就地”的原则，选择在缴纳基</w:t>
      </w:r>
      <w:r>
        <w:rPr>
          <w:rFonts w:hint="eastAsia" w:ascii="仿宋_GB2312" w:hAnsi="仿宋_GB2312" w:eastAsia="仿宋_GB2312" w:cs="仿宋_GB2312"/>
          <w:sz w:val="32"/>
          <w:szCs w:val="32"/>
          <w:lang w:eastAsia="zh-CN"/>
        </w:rPr>
        <w:t>本养老保险地或管理</w:t>
      </w:r>
      <w:r>
        <w:rPr>
          <w:rFonts w:hint="eastAsia" w:ascii="仿宋_GB2312" w:hAnsi="仿宋_GB2312" w:eastAsia="仿宋_GB2312" w:cs="仿宋_GB2312"/>
          <w:sz w:val="32"/>
          <w:szCs w:val="32"/>
          <w:lang w:val="en-US" w:eastAsia="zh-CN"/>
        </w:rPr>
        <w:t>(代理)本人人事档案的人力资源服务机构申报职称</w:t>
      </w:r>
      <w:r>
        <w:rPr>
          <w:rFonts w:hint="eastAsia" w:ascii="仿宋_GB2312" w:hAnsi="仿宋_GB2312" w:eastAsia="仿宋_GB2312" w:cs="仿宋_GB2312"/>
          <w:sz w:val="32"/>
          <w:szCs w:val="32"/>
        </w:rPr>
        <w:t>。</w:t>
      </w:r>
    </w:p>
    <w:p w14:paraId="27D0F79B">
      <w:pPr>
        <w:pStyle w:val="5"/>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10" w:leftChars="0" w:firstLine="640" w:firstLineChars="0"/>
        <w:jc w:val="both"/>
        <w:textAlignment w:val="auto"/>
        <w:rPr>
          <w:rFonts w:hint="eastAsia" w:ascii="国标黑体" w:hAnsi="国标黑体" w:eastAsia="国标黑体" w:cs="国标黑体"/>
          <w:b w:val="0"/>
          <w:bCs/>
          <w:sz w:val="32"/>
          <w:szCs w:val="32"/>
        </w:rPr>
      </w:pPr>
      <w:r>
        <w:rPr>
          <w:rFonts w:hint="eastAsia" w:ascii="国标黑体" w:hAnsi="国标黑体" w:eastAsia="国标黑体" w:cs="国标黑体"/>
          <w:b w:val="0"/>
          <w:bCs/>
          <w:sz w:val="32"/>
          <w:szCs w:val="32"/>
          <w:lang w:eastAsia="zh-CN"/>
        </w:rPr>
        <w:t>关于</w:t>
      </w:r>
      <w:r>
        <w:rPr>
          <w:rFonts w:hint="eastAsia" w:ascii="国标黑体" w:hAnsi="国标黑体" w:eastAsia="国标黑体" w:cs="国标黑体"/>
          <w:b w:val="0"/>
          <w:bCs/>
          <w:sz w:val="32"/>
          <w:szCs w:val="32"/>
        </w:rPr>
        <w:t>条件标准</w:t>
      </w:r>
    </w:p>
    <w:p w14:paraId="2C411BCC">
      <w:pPr>
        <w:pStyle w:val="5"/>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仿宋_GB2312" w:hAnsi="仿宋_GB2312" w:eastAsia="仿宋_GB2312" w:cs="仿宋_GB2312"/>
          <w:kern w:val="2"/>
          <w:sz w:val="32"/>
          <w:szCs w:val="32"/>
          <w:lang w:val="en-US" w:eastAsia="zh-CN" w:bidi="ar-SA"/>
        </w:rPr>
        <w:t>2025年卫生系列高级专业技术资格申报评审的条件标准，按照甘肃省人力资源和社会保障厅、甘肃省卫生健康委员会《关于印发〈甘肃省卫生系列高级职称评价条件标准〉的通知》（甘人社通〔2021〕304号）、《关于印发〈甘肃省基层卫生系列高级职称评价条件标准〉的通知》（甘人社通〔2021〕307号）和《关于明确甘肃省卫生系列高级职称申报评审中若干具体问题的通知》（甘卫人函〔2022〕287号）评价条件标准执行。</w:t>
      </w:r>
    </w:p>
    <w:p w14:paraId="2E8B47D1">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国标黑体" w:hAnsi="国标黑体" w:eastAsia="国标黑体" w:cs="国标黑体"/>
          <w:b w:val="0"/>
          <w:bCs/>
          <w:kern w:val="0"/>
          <w:sz w:val="32"/>
          <w:szCs w:val="32"/>
          <w:lang w:val="en-US" w:eastAsia="zh-CN" w:bidi="ar-SA"/>
        </w:rPr>
      </w:pPr>
      <w:r>
        <w:rPr>
          <w:rFonts w:hint="eastAsia" w:ascii="国标黑体" w:hAnsi="国标黑体" w:eastAsia="国标黑体" w:cs="国标黑体"/>
          <w:b w:val="0"/>
          <w:bCs/>
          <w:kern w:val="0"/>
          <w:sz w:val="32"/>
          <w:szCs w:val="32"/>
          <w:lang w:val="en-US" w:eastAsia="zh-CN" w:bidi="ar-SA"/>
        </w:rPr>
        <w:t>关于申报人业绩时限、职称资格取得时间、岗位聘用时间的界定</w:t>
      </w:r>
    </w:p>
    <w:p w14:paraId="69FA978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专业技术总年限和现职称任职年限，均计算到</w:t>
      </w:r>
      <w:r>
        <w:rPr>
          <w:rFonts w:hint="default" w:ascii="仿宋_GB2312" w:hAnsi="仿宋_GB2312" w:eastAsia="仿宋_GB2312" w:cs="仿宋_GB2312"/>
          <w:kern w:val="2"/>
          <w:sz w:val="32"/>
          <w:szCs w:val="32"/>
          <w:lang w:val="en-US" w:eastAsia="zh-CN" w:bidi="ar-SA"/>
        </w:rPr>
        <w:t>202</w:t>
      </w:r>
      <w:r>
        <w:rPr>
          <w:rFonts w:hint="eastAsia" w:ascii="仿宋_GB2312" w:hAnsi="仿宋_GB2312" w:eastAsia="仿宋_GB2312" w:cs="仿宋_GB2312"/>
          <w:kern w:val="2"/>
          <w:sz w:val="32"/>
          <w:szCs w:val="32"/>
          <w:lang w:val="en-US" w:eastAsia="zh-CN" w:bidi="ar-SA"/>
        </w:rPr>
        <w:t>5年</w:t>
      </w:r>
      <w:r>
        <w:rPr>
          <w:rFonts w:hint="default" w:ascii="仿宋_GB2312" w:hAnsi="仿宋_GB2312" w:eastAsia="仿宋_GB2312" w:cs="仿宋_GB2312"/>
          <w:kern w:val="2"/>
          <w:sz w:val="32"/>
          <w:szCs w:val="32"/>
          <w:lang w:val="en-US" w:eastAsia="zh-CN" w:bidi="ar-SA"/>
        </w:rPr>
        <w:t>12</w:t>
      </w:r>
      <w:r>
        <w:rPr>
          <w:rFonts w:hint="eastAsia" w:ascii="仿宋_GB2312" w:hAnsi="仿宋_GB2312" w:eastAsia="仿宋_GB2312" w:cs="仿宋_GB2312"/>
          <w:kern w:val="2"/>
          <w:sz w:val="32"/>
          <w:szCs w:val="32"/>
          <w:lang w:val="en-US" w:eastAsia="zh-CN" w:bidi="ar-SA"/>
        </w:rPr>
        <w:t>月</w:t>
      </w:r>
      <w:r>
        <w:rPr>
          <w:rFonts w:hint="default" w:ascii="仿宋_GB2312" w:hAnsi="仿宋_GB2312" w:eastAsia="仿宋_GB2312" w:cs="仿宋_GB2312"/>
          <w:kern w:val="2"/>
          <w:sz w:val="32"/>
          <w:szCs w:val="32"/>
          <w:lang w:val="en-US" w:eastAsia="zh-CN" w:bidi="ar-SA"/>
        </w:rPr>
        <w:t>31</w:t>
      </w:r>
      <w:r>
        <w:rPr>
          <w:rFonts w:hint="eastAsia" w:ascii="仿宋_GB2312" w:hAnsi="仿宋_GB2312" w:eastAsia="仿宋_GB2312" w:cs="仿宋_GB2312"/>
          <w:kern w:val="2"/>
          <w:sz w:val="32"/>
          <w:szCs w:val="32"/>
          <w:lang w:val="en-US" w:eastAsia="zh-CN" w:bidi="ar-SA"/>
        </w:rPr>
        <w:t>日。申报人的业绩须在2025年9月30日前取得。申报人在该时限之后取得的业绩，可作为业绩成果在下次申报职称时使用。职称资格取得时间按照职称评审委员会表决通过的时间计算。职称资格证书时间按照职称资格文件印发时间计算。岗位聘用时间按照事业单位党委(党组)会议研究后确定的聘用时间计算。</w:t>
      </w:r>
    </w:p>
    <w:p w14:paraId="048B5380">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国标黑体" w:hAnsi="国标黑体" w:eastAsia="国标黑体" w:cs="国标黑体"/>
          <w:b w:val="0"/>
          <w:bCs/>
          <w:kern w:val="0"/>
          <w:sz w:val="32"/>
          <w:szCs w:val="32"/>
          <w:lang w:val="en-US" w:eastAsia="zh-CN" w:bidi="ar-SA"/>
        </w:rPr>
      </w:pPr>
      <w:r>
        <w:rPr>
          <w:rFonts w:hint="eastAsia" w:ascii="国标黑体" w:hAnsi="国标黑体" w:eastAsia="国标黑体" w:cs="国标黑体"/>
          <w:b w:val="0"/>
          <w:bCs/>
          <w:kern w:val="0"/>
          <w:sz w:val="32"/>
          <w:szCs w:val="32"/>
          <w:lang w:val="en-US" w:eastAsia="zh-CN" w:bidi="ar-SA"/>
        </w:rPr>
        <w:t>关于全省有效破格晋升</w:t>
      </w:r>
    </w:p>
    <w:p w14:paraId="56639F1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破格申报全省有效职称的，可不受本单位岗位结构比例限制，取得职称资格后，按照优先调整岗位结构比例聘用。在评审过程中要严格对照业绩条件、严格把控破格晋升人数,本年度各层级破格晋升人数占正常晋升人数比例原则上不超过上年度。</w:t>
      </w:r>
    </w:p>
    <w:p w14:paraId="0BA3F99E">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国标黑体" w:hAnsi="国标黑体" w:eastAsia="国标黑体" w:cs="国标黑体"/>
          <w:b w:val="0"/>
          <w:bCs/>
          <w:kern w:val="0"/>
          <w:sz w:val="32"/>
          <w:szCs w:val="32"/>
          <w:lang w:val="en-US" w:eastAsia="zh-CN" w:bidi="ar-SA"/>
        </w:rPr>
      </w:pPr>
      <w:r>
        <w:rPr>
          <w:rFonts w:hint="eastAsia" w:ascii="国标黑体" w:hAnsi="国标黑体" w:eastAsia="国标黑体" w:cs="国标黑体"/>
          <w:b w:val="0"/>
          <w:bCs/>
          <w:kern w:val="0"/>
          <w:sz w:val="32"/>
          <w:szCs w:val="32"/>
          <w:lang w:val="en-US" w:eastAsia="zh-CN" w:bidi="ar-SA"/>
        </w:rPr>
        <w:t>关于基层有效</w:t>
      </w:r>
    </w:p>
    <w:p w14:paraId="2465F60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根据人社部有关要求和我省职称评聘有关规定，“定向评价、定向使用”取得的基层有效高级职称实行岗位总量控制，高级岗位数额不超过专业技术岗位总量10%（包括正常和破格晋升），专岗专用，单独管理。</w:t>
      </w:r>
    </w:p>
    <w:p w14:paraId="43446F90">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国标黑体" w:hAnsi="国标黑体" w:eastAsia="国标黑体" w:cs="国标黑体"/>
          <w:b w:val="0"/>
          <w:bCs/>
          <w:kern w:val="0"/>
          <w:sz w:val="32"/>
          <w:szCs w:val="32"/>
          <w:lang w:val="en-US" w:eastAsia="zh-CN" w:bidi="ar-SA"/>
        </w:rPr>
      </w:pPr>
      <w:r>
        <w:rPr>
          <w:rFonts w:hint="eastAsia" w:ascii="国标黑体" w:hAnsi="国标黑体" w:eastAsia="国标黑体" w:cs="国标黑体"/>
          <w:b w:val="0"/>
          <w:bCs/>
          <w:kern w:val="0"/>
          <w:sz w:val="32"/>
          <w:szCs w:val="32"/>
          <w:lang w:val="en-US" w:eastAsia="zh-CN" w:bidi="ar-SA"/>
        </w:rPr>
        <w:t>关于乡村倾斜政策</w:t>
      </w:r>
    </w:p>
    <w:p w14:paraId="4CB7A9C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根据中共甘肃省委组织部、甘肃省人力资源和社会保障厅《关于进一步优化事业单位岗位管理和公开招聘工作的通知》有关规定，对乡村艰苦边远地区专业技术人员工作</w:t>
      </w:r>
      <w:r>
        <w:rPr>
          <w:rFonts w:hint="default" w:ascii="仿宋_GB2312" w:hAnsi="仿宋_GB2312" w:eastAsia="仿宋_GB2312" w:cs="仿宋_GB2312"/>
          <w:kern w:val="2"/>
          <w:sz w:val="32"/>
          <w:szCs w:val="32"/>
          <w:lang w:val="en-US" w:eastAsia="zh-CN" w:bidi="ar-SA"/>
        </w:rPr>
        <w:t>20</w:t>
      </w:r>
      <w:r>
        <w:rPr>
          <w:rFonts w:hint="eastAsia" w:ascii="仿宋_GB2312" w:hAnsi="仿宋_GB2312" w:eastAsia="仿宋_GB2312" w:cs="仿宋_GB2312"/>
          <w:kern w:val="2"/>
          <w:sz w:val="32"/>
          <w:szCs w:val="32"/>
          <w:lang w:val="en-US" w:eastAsia="zh-CN" w:bidi="ar-SA"/>
        </w:rPr>
        <w:t>年以上评聘中级职称、工作</w:t>
      </w:r>
      <w:r>
        <w:rPr>
          <w:rFonts w:hint="default" w:ascii="仿宋_GB2312" w:hAnsi="仿宋_GB2312" w:eastAsia="仿宋_GB2312" w:cs="仿宋_GB2312"/>
          <w:kern w:val="2"/>
          <w:sz w:val="32"/>
          <w:szCs w:val="32"/>
          <w:lang w:val="en-US" w:eastAsia="zh-CN" w:bidi="ar-SA"/>
        </w:rPr>
        <w:t>30</w:t>
      </w:r>
      <w:r>
        <w:rPr>
          <w:rFonts w:hint="eastAsia" w:ascii="仿宋_GB2312" w:hAnsi="仿宋_GB2312" w:eastAsia="仿宋_GB2312" w:cs="仿宋_GB2312"/>
          <w:kern w:val="2"/>
          <w:sz w:val="32"/>
          <w:szCs w:val="32"/>
          <w:lang w:val="en-US" w:eastAsia="zh-CN" w:bidi="ar-SA"/>
        </w:rPr>
        <w:t>年以上评聘高级职称的，直接聘用到相应岗位，不受本单位岗位结构比例限制，在专业技术岗位结构比例外单列。</w:t>
      </w:r>
    </w:p>
    <w:p w14:paraId="5D8FF874">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国标黑体" w:hAnsi="国标黑体" w:eastAsia="国标黑体" w:cs="国标黑体"/>
          <w:b w:val="0"/>
          <w:bCs/>
          <w:kern w:val="0"/>
          <w:sz w:val="32"/>
          <w:szCs w:val="32"/>
          <w:lang w:val="en-US" w:eastAsia="zh-CN" w:bidi="ar-SA"/>
        </w:rPr>
      </w:pPr>
      <w:r>
        <w:rPr>
          <w:rFonts w:hint="eastAsia" w:ascii="国标黑体" w:hAnsi="国标黑体" w:eastAsia="国标黑体" w:cs="国标黑体"/>
          <w:b w:val="0"/>
          <w:bCs/>
          <w:kern w:val="0"/>
          <w:sz w:val="32"/>
          <w:szCs w:val="32"/>
          <w:lang w:val="en-US" w:eastAsia="zh-CN" w:bidi="ar-SA"/>
        </w:rPr>
        <w:t>关于知识更新能力</w:t>
      </w:r>
    </w:p>
    <w:p w14:paraId="3818DF7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申报人员需任期内在省内外上级医疗机构或省外同级医疗机构脱产对本专业进修培训连续</w:t>
      </w:r>
      <w:r>
        <w:rPr>
          <w:rFonts w:hint="default"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个月以上，或脱产对本专业进修培训累计达</w:t>
      </w:r>
      <w:r>
        <w:rPr>
          <w:rFonts w:hint="default"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kern w:val="2"/>
          <w:sz w:val="32"/>
          <w:szCs w:val="32"/>
          <w:lang w:val="en-US" w:eastAsia="zh-CN" w:bidi="ar-SA"/>
        </w:rPr>
        <w:t>个月以上，或在国（境）外研修</w:t>
      </w: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个月以上。医疗机构级别是指省、市、县、乡行政级别。</w:t>
      </w:r>
    </w:p>
    <w:p w14:paraId="72C0A0F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按照人社部《专业技术人员继续教育规定》和《甘肃省继续医学教育学分授予和管理办法》等有关规定，未按要求参加继续教育的专业技术人员，不得参加卫生系列职称评审。</w:t>
      </w:r>
      <w:r>
        <w:rPr>
          <w:rFonts w:hint="default" w:ascii="仿宋_GB2312" w:hAnsi="仿宋_GB2312" w:eastAsia="仿宋_GB2312" w:cs="仿宋_GB2312"/>
          <w:kern w:val="2"/>
          <w:sz w:val="32"/>
          <w:szCs w:val="32"/>
          <w:lang w:val="en-US" w:eastAsia="zh-CN" w:bidi="ar-SA"/>
        </w:rPr>
        <w:t>2020</w:t>
      </w:r>
      <w:r>
        <w:rPr>
          <w:rFonts w:hint="eastAsia" w:ascii="仿宋_GB2312" w:hAnsi="仿宋_GB2312" w:eastAsia="仿宋_GB2312" w:cs="仿宋_GB2312"/>
          <w:kern w:val="2"/>
          <w:sz w:val="32"/>
          <w:szCs w:val="32"/>
          <w:lang w:val="en-US" w:eastAsia="zh-CN" w:bidi="ar-SA"/>
        </w:rPr>
        <w:t>年及以后的继续教育相关数据可从甘肃省卫生科教管理平台、甘肃省中医药管理平台等提取打印。</w:t>
      </w:r>
      <w:r>
        <w:rPr>
          <w:rFonts w:hint="default" w:ascii="仿宋_GB2312" w:hAnsi="仿宋_GB2312" w:eastAsia="仿宋_GB2312" w:cs="仿宋_GB2312"/>
          <w:kern w:val="2"/>
          <w:sz w:val="32"/>
          <w:szCs w:val="32"/>
          <w:lang w:val="en-US" w:eastAsia="zh-CN" w:bidi="ar-SA"/>
        </w:rPr>
        <w:t>2020</w:t>
      </w:r>
      <w:r>
        <w:rPr>
          <w:rFonts w:hint="eastAsia" w:ascii="仿宋_GB2312" w:hAnsi="仿宋_GB2312" w:eastAsia="仿宋_GB2312" w:cs="仿宋_GB2312"/>
          <w:kern w:val="2"/>
          <w:sz w:val="32"/>
          <w:szCs w:val="32"/>
          <w:lang w:val="en-US" w:eastAsia="zh-CN" w:bidi="ar-SA"/>
        </w:rPr>
        <w:t>年及之前的继续教育情况，需上传继续教育证书等佐证材料。</w:t>
      </w:r>
    </w:p>
    <w:p w14:paraId="75EBF2E8">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国标黑体" w:hAnsi="国标黑体" w:eastAsia="国标黑体" w:cs="国标黑体"/>
          <w:b w:val="0"/>
          <w:bCs/>
          <w:kern w:val="0"/>
          <w:sz w:val="32"/>
          <w:szCs w:val="32"/>
          <w:lang w:val="en-US" w:eastAsia="zh-CN" w:bidi="ar-SA"/>
        </w:rPr>
      </w:pPr>
      <w:r>
        <w:rPr>
          <w:rFonts w:hint="eastAsia" w:ascii="国标黑体" w:hAnsi="国标黑体" w:eastAsia="国标黑体" w:cs="国标黑体"/>
          <w:b w:val="0"/>
          <w:bCs/>
          <w:kern w:val="0"/>
          <w:sz w:val="32"/>
          <w:szCs w:val="32"/>
          <w:lang w:val="en-US" w:eastAsia="zh-CN" w:bidi="ar-SA"/>
        </w:rPr>
        <w:t>关于论文和论著（专著、译著）查重</w:t>
      </w:r>
    </w:p>
    <w:p w14:paraId="5234EDA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省职改办提供“中国知网”收录论文查重服务，不接受任何查重报告单；未收录论文由用人单位联系“中国知网”进行查重，并上传单位签字盖章的“中国知网”查重报告单。查重结果以“去除引用文献复制比”为准，核心期刊论文不超过</w:t>
      </w:r>
      <w:r>
        <w:rPr>
          <w:rFonts w:hint="default" w:ascii="仿宋_GB2312" w:hAnsi="仿宋_GB2312" w:eastAsia="仿宋_GB2312" w:cs="仿宋_GB2312"/>
          <w:kern w:val="2"/>
          <w:sz w:val="32"/>
          <w:szCs w:val="32"/>
          <w:lang w:val="en-US" w:eastAsia="zh-CN" w:bidi="ar-SA"/>
        </w:rPr>
        <w:t>15</w:t>
      </w:r>
      <w:r>
        <w:rPr>
          <w:rFonts w:hint="eastAsia" w:ascii="仿宋_GB2312" w:hAnsi="仿宋_GB2312" w:eastAsia="仿宋_GB2312" w:cs="仿宋_GB2312"/>
          <w:kern w:val="2"/>
          <w:sz w:val="32"/>
          <w:szCs w:val="32"/>
          <w:lang w:val="en-US" w:eastAsia="zh-CN" w:bidi="ar-SA"/>
        </w:rPr>
        <w:t>%、省级期刊论文不超过</w:t>
      </w:r>
      <w:r>
        <w:rPr>
          <w:rFonts w:hint="default" w:ascii="仿宋_GB2312" w:hAnsi="仿宋_GB2312" w:eastAsia="仿宋_GB2312" w:cs="仿宋_GB2312"/>
          <w:kern w:val="2"/>
          <w:sz w:val="32"/>
          <w:szCs w:val="32"/>
          <w:lang w:val="en-US" w:eastAsia="zh-CN" w:bidi="ar-SA"/>
        </w:rPr>
        <w:t>25</w:t>
      </w:r>
      <w:r>
        <w:rPr>
          <w:rFonts w:hint="eastAsia" w:ascii="仿宋_GB2312" w:hAnsi="仿宋_GB2312" w:eastAsia="仿宋_GB2312" w:cs="仿宋_GB2312"/>
          <w:kern w:val="2"/>
          <w:sz w:val="32"/>
          <w:szCs w:val="32"/>
          <w:lang w:val="en-US" w:eastAsia="zh-CN" w:bidi="ar-SA"/>
        </w:rPr>
        <w:t>%。论著（专著、译著）审查，以甘肃省科技情报所官方提供的查重报告为准，实际撰写字数达到要求且重复率低于</w:t>
      </w:r>
      <w:r>
        <w:rPr>
          <w:rFonts w:hint="default" w:ascii="仿宋_GB2312" w:hAnsi="仿宋_GB2312" w:eastAsia="仿宋_GB2312" w:cs="仿宋_GB2312"/>
          <w:kern w:val="2"/>
          <w:sz w:val="32"/>
          <w:szCs w:val="32"/>
          <w:lang w:val="en-US" w:eastAsia="zh-CN" w:bidi="ar-SA"/>
        </w:rPr>
        <w:t>40</w:t>
      </w:r>
      <w:r>
        <w:rPr>
          <w:rFonts w:hint="eastAsia" w:ascii="仿宋_GB2312" w:hAnsi="仿宋_GB2312" w:eastAsia="仿宋_GB2312" w:cs="仿宋_GB2312"/>
          <w:kern w:val="2"/>
          <w:sz w:val="32"/>
          <w:szCs w:val="32"/>
          <w:lang w:val="en-US" w:eastAsia="zh-CN" w:bidi="ar-SA"/>
        </w:rPr>
        <w:t>%的为合格。</w:t>
      </w:r>
    </w:p>
    <w:p w14:paraId="10BFD05A">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国标黑体" w:hAnsi="国标黑体" w:eastAsia="国标黑体" w:cs="国标黑体"/>
          <w:b w:val="0"/>
          <w:bCs/>
          <w:kern w:val="0"/>
          <w:sz w:val="32"/>
          <w:szCs w:val="32"/>
          <w:lang w:val="en-US" w:eastAsia="zh-CN" w:bidi="ar-SA"/>
        </w:rPr>
      </w:pPr>
      <w:r>
        <w:rPr>
          <w:rFonts w:hint="eastAsia" w:ascii="国标黑体" w:hAnsi="国标黑体" w:eastAsia="国标黑体" w:cs="国标黑体"/>
          <w:b w:val="0"/>
          <w:bCs/>
          <w:kern w:val="0"/>
          <w:sz w:val="32"/>
          <w:szCs w:val="32"/>
          <w:lang w:val="en-US" w:eastAsia="zh-CN" w:bidi="ar-SA"/>
        </w:rPr>
        <w:t>关于表彰业绩</w:t>
      </w:r>
    </w:p>
    <w:p w14:paraId="0CC4462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按照省职改办《关于当前深化职称改革工作中几个具体事项的通知》要求，表彰认定依据为《关于印发全省评比达标表彰保留项目目录的通知》（甘人社通〔</w:t>
      </w:r>
      <w:r>
        <w:rPr>
          <w:rFonts w:hint="default" w:ascii="仿宋_GB2312" w:hAnsi="仿宋_GB2312" w:eastAsia="仿宋_GB2312" w:cs="仿宋_GB2312"/>
          <w:kern w:val="2"/>
          <w:sz w:val="32"/>
          <w:szCs w:val="32"/>
          <w:lang w:val="en-US" w:eastAsia="zh-CN" w:bidi="ar-SA"/>
        </w:rPr>
        <w:t>20</w:t>
      </w:r>
      <w:r>
        <w:rPr>
          <w:rFonts w:hint="eastAsia" w:ascii="仿宋_GB2312" w:hAnsi="仿宋_GB2312" w:eastAsia="仿宋_GB2312" w:cs="仿宋_GB2312"/>
          <w:kern w:val="2"/>
          <w:sz w:val="32"/>
          <w:szCs w:val="32"/>
          <w:lang w:val="en-US" w:eastAsia="zh-CN" w:bidi="ar-SA"/>
        </w:rPr>
        <w:t>16〕108号）的《保留项目目录》，2017年及以后，以各级“评比达标表彰”机关公布的《保留项目目录》为准，凡未经表彰管理部门批准的、不在《保留项目目录》的“通报表扬”“以示致谢”等荣誉均不能作为表彰业绩使用。</w:t>
      </w:r>
    </w:p>
    <w:p w14:paraId="50E11A55">
      <w:pPr>
        <w:pStyle w:val="2"/>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国标黑体" w:hAnsi="国标黑体" w:eastAsia="国标黑体" w:cs="国标黑体"/>
          <w:b w:val="0"/>
          <w:bCs/>
          <w:kern w:val="0"/>
          <w:sz w:val="32"/>
          <w:szCs w:val="32"/>
          <w:lang w:val="en-US" w:eastAsia="zh-CN" w:bidi="ar-SA"/>
        </w:rPr>
      </w:pPr>
      <w:r>
        <w:rPr>
          <w:rFonts w:hint="eastAsia" w:ascii="国标黑体" w:hAnsi="国标黑体" w:eastAsia="国标黑体" w:cs="国标黑体"/>
          <w:b w:val="0"/>
          <w:bCs/>
          <w:kern w:val="0"/>
          <w:sz w:val="32"/>
          <w:szCs w:val="32"/>
          <w:lang w:val="en-US" w:eastAsia="zh-CN" w:bidi="ar-SA"/>
        </w:rPr>
        <w:t>关于临床工作量</w:t>
      </w:r>
    </w:p>
    <w:p w14:paraId="0536103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报全省有效高级职称人员的临床工作量需从HIS系统提取，无法在HIS系统提取工作量的，可依据实际安装的其他系统或诊疗原始记录等方式提取，并将相关材料上传审核，将原始记录留存备查。所有提取工作量需在单位内进行公示。</w:t>
      </w:r>
    </w:p>
    <w:p w14:paraId="39237E8C">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国标黑体" w:hAnsi="国标黑体" w:eastAsia="国标黑体" w:cs="国标黑体"/>
          <w:b w:val="0"/>
          <w:bCs/>
          <w:kern w:val="0"/>
          <w:sz w:val="32"/>
          <w:szCs w:val="32"/>
          <w:lang w:val="en-US" w:eastAsia="zh-CN" w:bidi="ar-SA"/>
        </w:rPr>
        <w:t>十一、专业转换。</w:t>
      </w:r>
      <w:r>
        <w:rPr>
          <w:rFonts w:hint="eastAsia" w:ascii="仿宋_GB2312" w:hAnsi="仿宋_GB2312" w:eastAsia="仿宋_GB2312" w:cs="仿宋_GB2312"/>
          <w:kern w:val="2"/>
          <w:sz w:val="32"/>
          <w:szCs w:val="32"/>
          <w:lang w:val="en-US" w:eastAsia="zh-CN" w:bidi="ar-SA"/>
        </w:rPr>
        <w:t>所有从临床相关专业转换晋升卫生管理专业高级职称的，最高从副高一级开始转换，均须参加并通过卫生管理专业副高级实践技能考试。</w:t>
      </w:r>
    </w:p>
    <w:p w14:paraId="34841C39">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国标黑体" w:hAnsi="国标黑体" w:eastAsia="国标黑体" w:cs="国标黑体"/>
          <w:b w:val="0"/>
          <w:bCs/>
          <w:kern w:val="0"/>
          <w:sz w:val="32"/>
          <w:szCs w:val="32"/>
          <w:lang w:val="en-US" w:eastAsia="zh-CN" w:bidi="ar-SA"/>
        </w:rPr>
        <w:t>十二、在职状态确认。</w:t>
      </w:r>
      <w:r>
        <w:rPr>
          <w:rFonts w:hint="eastAsia" w:ascii="仿宋_GB2312" w:hAnsi="仿宋_GB2312" w:eastAsia="仿宋_GB2312" w:cs="仿宋_GB2312"/>
          <w:kern w:val="2"/>
          <w:sz w:val="32"/>
          <w:szCs w:val="32"/>
          <w:lang w:val="en-US" w:eastAsia="zh-CN" w:bidi="ar-SA"/>
        </w:rPr>
        <w:t>企业、社会团体、个体经济组织、</w:t>
      </w:r>
    </w:p>
    <w:p w14:paraId="783045C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事业单位编外聘用人员、由各级评委会组建单位会同人社（职改）部门核实社保信息，以确认其是否与申报单位建立了真实有效的劳动关系。原则上，申报人员应在申报单位连续缴纳6个月以上企业职工养老保险(截止申报当月),或在现单位连续缴纳3个月且近5年在省内不同单位累计缴纳12个月以上企业职工养老保险(截止申报当月)。对公司法人、在部队选择自主择业后到地方企业工作的人员，须提交加盖单位印章的身份情况说明以及用人单位与申报人员签订的劳动合同和银行工资流水单。</w:t>
      </w:r>
    </w:p>
    <w:p w14:paraId="485FDA02">
      <w:pPr>
        <w:pStyle w:val="2"/>
        <w:rPr>
          <w:rFonts w:hint="default" w:ascii="仿宋_GB2312" w:hAnsi="仿宋_GB2312" w:eastAsia="仿宋_GB2312" w:cs="仿宋_GB2312"/>
          <w:sz w:val="28"/>
          <w:szCs w:val="28"/>
          <w:lang w:val="en-US" w:eastAsia="zh-CN"/>
        </w:rPr>
      </w:pPr>
    </w:p>
    <w:p w14:paraId="5CBEDB85">
      <w:pPr>
        <w:pStyle w:val="2"/>
        <w:rPr>
          <w:rFonts w:hint="eastAsia"/>
        </w:rPr>
      </w:pPr>
    </w:p>
    <w:sectPr>
      <w:headerReference r:id="rId3" w:type="default"/>
      <w:footerReference r:id="rId4" w:type="default"/>
      <w:pgSz w:w="11906" w:h="16838"/>
      <w:pgMar w:top="2098" w:right="1474" w:bottom="1984" w:left="1587" w:header="851" w:footer="141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国标黑体">
    <w:altName w:val="方正黑体_GBK"/>
    <w:panose1 w:val="02000500000000000000"/>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4C057">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263F22">
                          <w:pPr>
                            <w:pStyle w:val="3"/>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WH3Et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hYfcS3gEAAL4DAAAOAAAAAAAA&#10;AAEAIAAAAB4BAABkcnMvZTJvRG9jLnhtbFBLBQYAAAAABgAGAFkBAABuBQAAAAA=&#10;">
              <v:fill on="f" focussize="0,0"/>
              <v:stroke on="f"/>
              <v:imagedata o:title=""/>
              <o:lock v:ext="edit" aspectratio="f"/>
              <v:textbox inset="0mm,0mm,0mm,0mm" style="mso-fit-shape-to-text:t;">
                <w:txbxContent>
                  <w:p w14:paraId="7F263F22">
                    <w:pPr>
                      <w:pStyle w:val="3"/>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46138">
    <w:pPr>
      <w:pStyle w:val="4"/>
      <w:pBdr>
        <w:top w:val="none" w:color="auto" w:sz="0" w:space="0"/>
        <w:left w:val="none" w:color="auto" w:sz="0" w:space="0"/>
        <w:bottom w:val="none" w:color="auto" w:sz="0" w:space="1"/>
        <w:right w:val="none" w:color="auto" w:sz="0" w:space="0"/>
        <w:between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EB2CCD"/>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53EB2CCD"/>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8EB1C0"/>
    <w:multiLevelType w:val="singleLevel"/>
    <w:tmpl w:val="798EB1C0"/>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635AA"/>
    <w:rsid w:val="16FD0E3F"/>
    <w:rsid w:val="2F6635AA"/>
    <w:rsid w:val="4FBED4C0"/>
    <w:rsid w:val="4FF3D49C"/>
    <w:rsid w:val="5C9DF039"/>
    <w:rsid w:val="5DDB41FE"/>
    <w:rsid w:val="5FDD11A2"/>
    <w:rsid w:val="5FEBE103"/>
    <w:rsid w:val="6CBB14F8"/>
    <w:rsid w:val="76F99DFB"/>
    <w:rsid w:val="7BFE5B36"/>
    <w:rsid w:val="7F3735A7"/>
    <w:rsid w:val="7F7F02F5"/>
    <w:rsid w:val="7FCD5921"/>
    <w:rsid w:val="AD78A298"/>
    <w:rsid w:val="BFAA1D50"/>
    <w:rsid w:val="BFE7F3CC"/>
    <w:rsid w:val="CFFFD3A6"/>
    <w:rsid w:val="D79F3CA9"/>
    <w:rsid w:val="EFFFCF88"/>
    <w:rsid w:val="F6EFB7C0"/>
    <w:rsid w:val="F7F6B8C6"/>
    <w:rsid w:val="FFDDEB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2196</Words>
  <Characters>2265</Characters>
  <Lines>0</Lines>
  <Paragraphs>0</Paragraphs>
  <TotalTime>4</TotalTime>
  <ScaleCrop>false</ScaleCrop>
  <LinksUpToDate>false</LinksUpToDate>
  <CharactersWithSpaces>2267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2024-09-04T01:03:00Z</dcterms:created>
  <dc:creator>gsswjw</dc:creator>
  <cp:lastModifiedBy>shouyuan wu</cp:lastModifiedBy>
  <cp:lastPrinted>2025-09-02T10:22:00Z</cp:lastPrinted>
  <dcterms:modified xsi:type="dcterms:W3CDTF">2025-09-03T15:32:31Z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C4AE786E5F682BB661EAB768593AF3D3_43</vt:lpwstr>
  </property>
</Properties>
</file>